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9525" distL="114300" distR="114300" simplePos="0" locked="0" layoutInCell="1" allowOverlap="1" relativeHeight="2">
            <wp:simplePos x="0" y="0"/>
            <wp:positionH relativeFrom="column">
              <wp:posOffset>2747010</wp:posOffset>
            </wp:positionH>
            <wp:positionV relativeFrom="paragraph">
              <wp:posOffset>169545</wp:posOffset>
            </wp:positionV>
            <wp:extent cx="590550" cy="904875"/>
            <wp:effectExtent l="0" t="0" r="0" b="0"/>
            <wp:wrapNone/>
            <wp:docPr id="1" name="Рисунок 1" descr="герб_м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мал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b/>
          <w:sz w:val="32"/>
          <w:szCs w:val="20"/>
        </w:rPr>
        <w:t>Администрация города Кирсанова</w:t>
      </w:r>
    </w:p>
    <w:p>
      <w:pPr>
        <w:pStyle w:val="Normal"/>
        <w:keepNext/>
        <w:numPr>
          <w:ilvl w:val="0"/>
          <w:numId w:val="0"/>
        </w:numPr>
        <w:jc w:val="center"/>
        <w:outlineLvl w:val="0"/>
        <w:rPr>
          <w:b/>
          <w:b/>
          <w:sz w:val="32"/>
          <w:szCs w:val="20"/>
        </w:rPr>
      </w:pPr>
      <w:r>
        <w:rPr>
          <w:b/>
          <w:sz w:val="32"/>
          <w:szCs w:val="20"/>
        </w:rPr>
        <w:t>Тамбовской области</w:t>
      </w:r>
    </w:p>
    <w:p>
      <w:pPr>
        <w:pStyle w:val="Normal"/>
        <w:jc w:val="center"/>
        <w:rPr>
          <w:b/>
          <w:b/>
          <w:sz w:val="32"/>
          <w:szCs w:val="20"/>
        </w:rPr>
      </w:pPr>
      <w:r>
        <w:rPr>
          <w:b/>
          <w:sz w:val="32"/>
          <w:szCs w:val="20"/>
        </w:rPr>
      </w:r>
    </w:p>
    <w:p>
      <w:pPr>
        <w:pStyle w:val="Normal"/>
        <w:keepNext/>
        <w:numPr>
          <w:ilvl w:val="0"/>
          <w:numId w:val="0"/>
        </w:numPr>
        <w:ind w:left="576" w:hanging="0"/>
        <w:jc w:val="center"/>
        <w:outlineLvl w:val="1"/>
        <w:rPr>
          <w:b/>
          <w:b/>
          <w:sz w:val="48"/>
          <w:szCs w:val="20"/>
        </w:rPr>
      </w:pPr>
      <w:r>
        <w:rPr>
          <w:b/>
          <w:sz w:val="48"/>
          <w:szCs w:val="20"/>
        </w:rPr>
        <w:t>ПОСТАНОВЛЕНИЕ</w:t>
      </w:r>
    </w:p>
    <w:p>
      <w:pPr>
        <w:pStyle w:val="Normal"/>
        <w:jc w:val="center"/>
        <w:rPr>
          <w:b/>
          <w:b/>
          <w:sz w:val="48"/>
          <w:szCs w:val="20"/>
        </w:rPr>
      </w:pPr>
      <w:r>
        <w:rPr>
          <w:b/>
          <w:sz w:val="4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b/>
          <w:sz w:val="28"/>
          <w:szCs w:val="28"/>
        </w:rPr>
        <w:t>« 23 »  марта 2021 г.               г. Кирсанов                        № 194</w:t>
      </w:r>
    </w:p>
    <w:p>
      <w:pPr>
        <w:pStyle w:val="Normal"/>
        <w:widowControl w:val="false"/>
        <w:jc w:val="center"/>
        <w:rPr>
          <w:rFonts w:eastAsia="Lucida Sans Unicode" w:cs="Mangal"/>
          <w:b/>
          <w:b/>
          <w:bCs/>
          <w:sz w:val="28"/>
          <w:szCs w:val="28"/>
          <w:lang w:eastAsia="ru-RU" w:bidi="hi-IN"/>
        </w:rPr>
      </w:pPr>
      <w:r>
        <w:rPr>
          <w:rFonts w:eastAsia="Lucida Sans Unicode" w:cs="Mangal"/>
          <w:b/>
          <w:bCs/>
          <w:sz w:val="28"/>
          <w:szCs w:val="28"/>
          <w:lang w:eastAsia="ru-RU"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bCs/>
          <w:sz w:val="28"/>
          <w:szCs w:val="28"/>
          <w:lang w:eastAsia="ru-RU" w:bidi="hi-IN"/>
        </w:rPr>
      </w:pPr>
      <w:r>
        <w:rPr>
          <w:rFonts w:eastAsia="Lucida Sans Unicode" w:cs="Mangal"/>
          <w:b/>
          <w:bCs/>
          <w:sz w:val="28"/>
          <w:szCs w:val="28"/>
          <w:lang w:eastAsia="ru-RU" w:bidi="hi-IN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bookmarkStart w:id="0" w:name="_GoBack"/>
      <w:bookmarkEnd w:id="0"/>
      <w:r>
        <w:rPr>
          <w:sz w:val="28"/>
          <w:szCs w:val="28"/>
        </w:rPr>
        <w:t>О внесении изменений в постановление администрации города от 11.10.2013 № 1359 «Об утверждении муниципальной программы города Кирсанова Тамбовской области «Развитие культуры и туризма» на 2014-2024 годы»</w:t>
      </w:r>
    </w:p>
    <w:p>
      <w:pPr>
        <w:pStyle w:val="Normal"/>
        <w:jc w:val="both"/>
        <w:rPr/>
      </w:pPr>
      <w:r>
        <w:rPr/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В соответствии с постановлением администрации города от 09.08.2013 № 957 «Об утверждении Порядка разработки, утверждения и реализации муниципальных программ  города Кирсанова Тамбовской области» администрация города постановляет: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1. Внести в постановление администрации города от 11.10.2013 № 1359 «Об утверждении муниципальной программы города Кирсанова Тамбовской области «Развитие культуры и туризма» на 2014-2024 годы» следующие изменения: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1.1. Паспорт муниципальной программы  города Кирсанова Тамбовской области «Развитие институтов гражданского общества города Кирсанова»  на 2014 - 2024 годы изложить в новой редакции согласно приложению №1 к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1.2. П</w:t>
      </w:r>
      <w:r>
        <w:rPr>
          <w:sz w:val="28"/>
          <w:szCs w:val="28"/>
          <w:highlight w:val="white"/>
        </w:rPr>
        <w:t>еречень мероприятий муниципальной программы города Кирсанова Тамбовской области «Развитие институтов гражданского общества города Кирсанова» на 2014-2024 годы</w:t>
      </w:r>
      <w:r>
        <w:rPr>
          <w:sz w:val="28"/>
          <w:szCs w:val="28"/>
        </w:rPr>
        <w:t xml:space="preserve">  изложить в новой редакции согласно приложению № 2  к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1.3. Р</w:t>
      </w:r>
      <w:r>
        <w:rPr>
          <w:bCs/>
          <w:sz w:val="28"/>
          <w:szCs w:val="28"/>
          <w:highlight w:val="white"/>
        </w:rPr>
        <w:t xml:space="preserve">есурсное обеспечение реализации муниципальной программы города Кирсанова </w:t>
      </w:r>
      <w:r>
        <w:rPr>
          <w:bCs/>
          <w:color w:val="000000"/>
          <w:sz w:val="28"/>
          <w:szCs w:val="28"/>
          <w:highlight w:val="white"/>
        </w:rPr>
        <w:t>Тамбовской области «Развитие институтов гражданского общества города Кирсанова»  на 2014-2024  годы за счет всех источников финансирования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№3  к постановлению.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1.4. Паспорт подпрограммы  «Наследие» изложить в новой редакции согласно приложению № 4  к постановлению.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1.5. Паспорт подпрограммы  «Культура» на 2014 - 2024 годы  изложить в новой редакции согласно приложению № 5  к постановлению.</w:t>
      </w:r>
    </w:p>
    <w:p>
      <w:pPr>
        <w:pStyle w:val="Normal"/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Разместить (опубликовать) настоящее постановление в периодическом печатном издании «Кирсановский вестник» и разместить на официальном сайте администрации города Кирсанова. </w:t>
      </w:r>
    </w:p>
    <w:p>
      <w:pPr>
        <w:pStyle w:val="Normal"/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возложить на  управляющего делами администрации города Т.С. Савину.</w:t>
      </w:r>
    </w:p>
    <w:p>
      <w:pPr>
        <w:pStyle w:val="Normal"/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color w:val="000000"/>
          <w:sz w:val="28"/>
          <w:szCs w:val="28"/>
        </w:rPr>
        <w:t>Глава города</w:t>
        <w:tab/>
        <w:tab/>
        <w:tab/>
        <w:tab/>
        <w:tab/>
        <w:tab/>
        <w:tab/>
        <w:t xml:space="preserve">                     С.А. Павлов 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города</w:t>
      </w:r>
    </w:p>
    <w:p>
      <w:pPr>
        <w:pStyle w:val="Normal"/>
        <w:jc w:val="right"/>
        <w:rPr/>
      </w:pPr>
      <w:r>
        <w:rPr>
          <w:sz w:val="28"/>
          <w:szCs w:val="28"/>
        </w:rPr>
        <w:t>от «____»_____________ года № _______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b/>
          <w:sz w:val="28"/>
          <w:szCs w:val="28"/>
          <w:lang w:bidi="hi-IN"/>
        </w:rPr>
        <w:t>Паспорт</w:t>
      </w:r>
    </w:p>
    <w:p>
      <w:pPr>
        <w:pStyle w:val="Normal"/>
        <w:widowControl w:val="false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b/>
          <w:sz w:val="28"/>
          <w:szCs w:val="28"/>
          <w:lang w:bidi="hi-IN"/>
        </w:rPr>
        <w:t>муниципальной программы города Кирсанова Тамбовской области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b/>
          <w:sz w:val="28"/>
          <w:szCs w:val="28"/>
          <w:lang w:bidi="hi-IN"/>
        </w:rPr>
        <w:t>«Развитие культуры и туризма</w:t>
      </w:r>
      <w:r>
        <w:rPr>
          <w:b/>
          <w:sz w:val="28"/>
          <w:szCs w:val="28"/>
          <w:lang w:eastAsia="ru-RU" w:bidi="hi-IN"/>
        </w:rPr>
        <w:t xml:space="preserve">» </w:t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b/>
          <w:sz w:val="28"/>
          <w:szCs w:val="28"/>
          <w:lang w:bidi="hi-IN"/>
        </w:rPr>
        <w:t xml:space="preserve"> </w:t>
      </w:r>
      <w:r>
        <w:rPr>
          <w:b/>
          <w:sz w:val="28"/>
          <w:szCs w:val="28"/>
          <w:lang w:bidi="hi-IN"/>
        </w:rPr>
        <w:t>на 2014-2024 годы</w:t>
      </w:r>
    </w:p>
    <w:p>
      <w:pPr>
        <w:pStyle w:val="Normal"/>
        <w:widowControl w:val="false"/>
        <w:jc w:val="center"/>
        <w:rPr>
          <w:b/>
          <w:b/>
          <w:color w:val="FF0000"/>
          <w:sz w:val="28"/>
          <w:szCs w:val="28"/>
          <w:lang w:eastAsia="ru-RU" w:bidi="hi-IN"/>
        </w:rPr>
      </w:pPr>
      <w:r>
        <w:rPr>
          <w:b/>
          <w:color w:val="FF0000"/>
          <w:sz w:val="28"/>
          <w:szCs w:val="28"/>
          <w:lang w:eastAsia="ru-RU" w:bidi="hi-IN"/>
        </w:rPr>
      </w:r>
    </w:p>
    <w:tbl>
      <w:tblPr>
        <w:tblW w:w="9619" w:type="dxa"/>
        <w:jc w:val="left"/>
        <w:tblInd w:w="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0" w:type="dxa"/>
          <w:bottom w:w="0" w:type="dxa"/>
          <w:right w:w="75" w:type="dxa"/>
        </w:tblCellMar>
        <w:tblLook w:firstRow="0" w:noVBand="0" w:lastRow="0" w:firstColumn="0" w:lastColumn="0" w:noHBand="0" w:val="0000"/>
      </w:tblPr>
      <w:tblGrid>
        <w:gridCol w:w="2725"/>
        <w:gridCol w:w="6893"/>
      </w:tblGrid>
      <w:tr>
        <w:trPr>
          <w:trHeight w:val="400" w:hRule="atLeast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Ответственный исполнитель подпрограммы                        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 xml:space="preserve">отдел по культуре и молодежной политике администрации города, </w:t>
            </w:r>
          </w:p>
        </w:tc>
      </w:tr>
      <w:tr>
        <w:trPr/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>Соисполнители  подпрограммы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отдел по развитию физической культуры, спорта и туризма администрации города,  муниципальное бюджетное учреждение культуры Центр досуга «Золотой витязь»;  муниципальное бюджетное учреждение культуры «Кирсановский краеведческий музей»; муниципальное бюджетное учреждение культуры «Кирсановская городская библиотека»; муниципальное бюджетное образовательное учреждения дополнительного образования «Кирсановская детская школа искусств»; муниципальное бюджетное учреждение «Спортивно-оздоровительный клуб «Олимп»,  а</w:t>
            </w:r>
            <w:r>
              <w:rPr>
                <w:sz w:val="28"/>
                <w:szCs w:val="28"/>
                <w:highlight w:val="white"/>
              </w:rPr>
              <w:t>рхивный отдел администрации города</w:t>
            </w:r>
            <w:r>
              <w:rPr>
                <w:sz w:val="28"/>
                <w:szCs w:val="28"/>
              </w:rPr>
              <w:t xml:space="preserve"> .</w:t>
            </w:r>
          </w:p>
        </w:tc>
      </w:tr>
      <w:tr>
        <w:trPr>
          <w:trHeight w:val="2387" w:hRule="atLeast"/>
        </w:trPr>
        <w:tc>
          <w:tcPr>
            <w:tcW w:w="272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Liberation Serif" w:hAnsi="Liberation Serif" w:eastAsia="Lucida Sans Unicode" w:cs="Mangal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Подпрограммы программы                </w:t>
            </w:r>
          </w:p>
        </w:tc>
        <w:tc>
          <w:tcPr>
            <w:tcW w:w="68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 w:eastAsia="Lucida Sans Unicode" w:cs="Mangal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highlight w:val="white"/>
                <w:lang w:bidi="hi-IN"/>
              </w:rPr>
              <w:t>Подпрограмма 1 «Культура» на 2014-2024 годы</w:t>
            </w:r>
            <w:r>
              <w:rPr>
                <w:rFonts w:eastAsia="Lucida Sans Unicode" w:cs="Mangal"/>
                <w:sz w:val="28"/>
                <w:szCs w:val="28"/>
                <w:lang w:bidi="hi-IN"/>
              </w:rPr>
              <w:t>;</w:t>
            </w:r>
          </w:p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 w:eastAsia="Lucida Sans Unicode" w:cs="Mangal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highlight w:val="white"/>
                <w:lang w:bidi="hi-IN"/>
              </w:rPr>
              <w:t>Подпрограмма 2 «Наследие» на 2014-2024 годы</w:t>
            </w:r>
            <w:r>
              <w:rPr>
                <w:rFonts w:eastAsia="Lucida Sans Unicode" w:cs="Mangal"/>
                <w:sz w:val="28"/>
                <w:szCs w:val="28"/>
                <w:lang w:bidi="hi-IN"/>
              </w:rPr>
              <w:t>;</w:t>
            </w:r>
          </w:p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 w:eastAsia="Lucida Sans Unicode" w:cs="Mangal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highlight w:val="white"/>
                <w:lang w:bidi="hi-IN"/>
              </w:rPr>
              <w:t>Подпрограмма3 «Организация и проведение городских общественно значимых массовых мероприятий» на 2014-2024 годы</w:t>
            </w:r>
            <w:r>
              <w:rPr>
                <w:rFonts w:eastAsia="Lucida Sans Unicode" w:cs="Mangal"/>
                <w:sz w:val="28"/>
                <w:szCs w:val="28"/>
                <w:lang w:bidi="hi-IN"/>
              </w:rPr>
              <w:t>;</w:t>
            </w:r>
          </w:p>
          <w:p>
            <w:pPr>
              <w:pStyle w:val="Normal"/>
              <w:widowControl w:val="false"/>
              <w:snapToGrid w:val="false"/>
              <w:jc w:val="both"/>
              <w:rPr>
                <w:rFonts w:ascii="Liberation Serif" w:hAnsi="Liberation Serif" w:eastAsia="Lucida Sans Unicode" w:cs="Mangal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highlight w:val="white"/>
                <w:lang w:bidi="hi-IN"/>
              </w:rPr>
              <w:t>Подпрограмма 4 «Развитие туризма» на 2014 - 2024 годы</w:t>
            </w:r>
            <w:r>
              <w:rPr>
                <w:rFonts w:eastAsia="Lucida Sans Unicode" w:cs="Mangal"/>
                <w:sz w:val="28"/>
                <w:szCs w:val="28"/>
                <w:lang w:bidi="hi-IN"/>
              </w:rPr>
              <w:t>.</w:t>
            </w:r>
          </w:p>
        </w:tc>
      </w:tr>
      <w:tr>
        <w:trPr/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Цель подпрограммы         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города, устойчивое развитие   туристско-рекреационной отрасли в качестве одной из приоритетных отраслей экономики.</w:t>
            </w:r>
          </w:p>
        </w:tc>
      </w:tr>
      <w:tr>
        <w:trPr/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Задачи  программы       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Сохранение, пополнение и использование культурного и исторического наследия города;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создание благоприятных условий для устойчивого развития сферы культуры города;</w:t>
            </w:r>
          </w:p>
          <w:p>
            <w:pPr>
              <w:pStyle w:val="Normal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организация и проведение массовых мероприятий, конкурсов, фестивалей, смотров, выставок; </w:t>
            </w:r>
            <w:r>
              <w:rPr>
                <w:rFonts w:eastAsia="Calibri"/>
                <w:sz w:val="28"/>
                <w:szCs w:val="28"/>
              </w:rPr>
              <w:t xml:space="preserve">формирование привлекательного туристского имиджа города, 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sz w:val="28"/>
                <w:szCs w:val="28"/>
              </w:rPr>
              <w:t>создание благоприятных условий для устойчивого развития туризма.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>
        <w:trPr>
          <w:trHeight w:val="600" w:hRule="atLeast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Целевые индикаторы и 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показатели программы, </w:t>
              <w:br/>
              <w:t xml:space="preserve">и их значения на последний год реализации 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Увеличение количества посещений концертов, спектаклей, гастролей, других культурно-досуговых мероприятий  на 1000 жителей (8300).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Прирост количества мероприятий, проводимых учреждениями культуры и искусства (10%).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3.Повышение уровня удовлетворенности жителей города качеством предоставленных муниципальных услуг в сфере культуры (95%).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Увеличение количества зрителей и участников культурно-досуговых мероприятий (141500).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Прирост доли участников – культурно-досуговых мероприятий, любительских объединений и клубов по интересам (72,5%).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Увеличение удельного веса населения, участвующего в платных культурно-досуговых мероприятиях (223 %).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Охват детей 7-15 лет дополнительным художественным образованием (26 %).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Увеличение количества лауреатов и дипломантов фестивалей и конкурсов (международных, межрегиональных, областных, межмуниципальных (до 40ч.)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9.Увеличение количества пользователей услугами «Кирсановской городской библиотеки» (2700 ч.)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Увеличение книгообеспеченности  на 1 пользователя «Кирсановской городской библиотеки» (19,5 экз.)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Увеличение книжного фонда Кирсановской городской библиотеки» (49,1%)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12.Увеличение доли электронного каталога «Кирсановской городской библиотеки» (86,6%).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13.Увеличение доли выставленных музейных экспонатов «Кирсановского краеведческого музея» (13,5%)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Увеличение количества музейных выставок, в том числе и мобильных «Кирсановского краеведческого музея» (30 ед.)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 Издание видео и аудио альбомов ведущих творческих коллективов и  исполнителей города  (7 ед.).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городских общественно значимых массовых мероприятий (35ед.).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Проведение мероприятий в сфере культурно-познавательного и событийного туризма.(5ед.).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18.Увеличение количества проводимых мероприятий.(27 ед.).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>19. Увеличение количества участников событийных мероприятий (2050 чел.).</w:t>
            </w:r>
          </w:p>
        </w:tc>
      </w:tr>
      <w:tr>
        <w:trPr>
          <w:trHeight w:val="400" w:hRule="atLeast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Сроки и этапы реализации программы                       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>Реализация подпрограммы запланирована на 2014-2024 годы</w:t>
            </w:r>
          </w:p>
        </w:tc>
      </w:tr>
      <w:tr>
        <w:trPr>
          <w:trHeight w:val="400" w:hRule="atLeast"/>
        </w:trPr>
        <w:tc>
          <w:tcPr>
            <w:tcW w:w="2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>Объемы и источники финансирования     подпрограммы</w:t>
            </w:r>
          </w:p>
        </w:tc>
        <w:tc>
          <w:tcPr>
            <w:tcW w:w="6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 xml:space="preserve">Мероприятия Программы финансируются за счет средств бюджета города, бюджета области и внебюджетных средств. </w:t>
            </w:r>
          </w:p>
          <w:p>
            <w:pPr>
              <w:pStyle w:val="Normal"/>
              <w:rPr>
                <w:rFonts w:eastAsia="Lucida Sans Unicode" w:cs="Mangal"/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bCs/>
                <w:sz w:val="28"/>
                <w:szCs w:val="28"/>
              </w:rPr>
              <w:t>1</w:t>
            </w:r>
            <w:r>
              <w:rPr>
                <w:rFonts w:eastAsia="Lucida Sans Unicode" w:cs="Mangal"/>
                <w:sz w:val="28"/>
                <w:szCs w:val="28"/>
                <w:lang w:bidi="hi-IN"/>
              </w:rPr>
              <w:t>188632,605тыс. рублей, в том числе:</w:t>
            </w:r>
          </w:p>
          <w:p>
            <w:pPr>
              <w:pStyle w:val="Normal"/>
              <w:rPr>
                <w:rFonts w:eastAsia="Lucida Sans Unicode" w:cs="Mangal"/>
                <w:sz w:val="28"/>
                <w:szCs w:val="28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lang w:bidi="hi-IN"/>
              </w:rPr>
              <w:t>средства федерального бюджета  – 31730,8 тыс. рублей</w:t>
            </w:r>
          </w:p>
          <w:p>
            <w:pPr>
              <w:pStyle w:val="Normal"/>
              <w:rPr>
                <w:rFonts w:eastAsia="Lucida Sans Unicode" w:cs="Mangal"/>
                <w:sz w:val="28"/>
                <w:szCs w:val="28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lang w:bidi="hi-IN"/>
              </w:rPr>
              <w:t>средства бюджета области – 13914,2 тыс. рублей;</w:t>
            </w:r>
          </w:p>
          <w:p>
            <w:pPr>
              <w:pStyle w:val="Normal"/>
              <w:rPr>
                <w:rFonts w:eastAsia="Lucida Sans Unicode" w:cs="Mangal"/>
                <w:sz w:val="28"/>
                <w:szCs w:val="28"/>
                <w:lang w:bidi="hi-IN"/>
              </w:rPr>
            </w:pPr>
            <w:r>
              <w:rPr>
                <w:rFonts w:eastAsia="Lucida Sans Unicode" w:cs="Mangal"/>
                <w:sz w:val="28"/>
                <w:szCs w:val="28"/>
                <w:lang w:bidi="hi-IN"/>
              </w:rPr>
              <w:t>средства бюджета города – 137708,3 тыс. рублей;</w:t>
            </w:r>
          </w:p>
          <w:p>
            <w:pPr>
              <w:pStyle w:val="Normal"/>
              <w:rPr/>
            </w:pPr>
            <w:r>
              <w:rPr>
                <w:rFonts w:eastAsia="Lucida Sans Unicode" w:cs="Mangal"/>
                <w:sz w:val="28"/>
                <w:szCs w:val="28"/>
                <w:lang w:bidi="hi-IN"/>
              </w:rPr>
              <w:t>средства внебюджетные — 5252,305 тыс. рублей</w:t>
            </w:r>
            <w:r>
              <w:rPr>
                <w:sz w:val="28"/>
                <w:szCs w:val="28"/>
                <w:highlight w:val="white"/>
              </w:rPr>
              <w:t xml:space="preserve"> 2014 год</w:t>
            </w:r>
            <w:r>
              <w:rPr>
                <w:b/>
                <w:bCs/>
                <w:sz w:val="28"/>
                <w:szCs w:val="28"/>
                <w:highlight w:val="white"/>
              </w:rPr>
              <w:t>-</w:t>
            </w:r>
            <w:r>
              <w:rPr>
                <w:sz w:val="28"/>
                <w:szCs w:val="28"/>
                <w:highlight w:val="white"/>
              </w:rPr>
              <w:t xml:space="preserve"> 8988,3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– 214,3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8663,0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- 111,0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2015 год- 9571,3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- 49,0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9411,3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- 111,0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2016 год- 14339,605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- 46,7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9252,2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– 5040,705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2017 год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– 17858,4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- 3639,4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14202,0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- 17,0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2018 год- 7472,6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– 40,6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7415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–0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 xml:space="preserve">2019 год- 43215,9  тыс. рублей, в том числе: 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области – 49,5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города- 43166,4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внебюджетные - 0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2020 год- 14622,2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средства бюджета области – 41,0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14576,2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2021 год- 10524,3 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средства бюджета области – 39,3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10485,0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  <w:lang w:eastAsia="ru-RU"/>
              </w:rPr>
              <w:t>средства внебюджетные — 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2022 год- 41415,1тыс.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средства бюджета области – 39,3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– 9645,0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  <w:lang w:eastAsia="ru-RU"/>
              </w:rPr>
              <w:t>средства федерального бюджета —  31730,8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2023 год- 8125,0тыс.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средства бюджета области – 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- 8125,0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  <w:lang w:eastAsia="ru-RU"/>
              </w:rPr>
              <w:t>средства внебюджетные — 0 тыс. рублей.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2024 год- 8125,0тыс. рублей, в том числе: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  <w:highlight w:val="white"/>
              </w:rPr>
              <w:t>средства бюджета области – 0 тыс. рублей;</w:t>
            </w:r>
          </w:p>
          <w:p>
            <w:pPr>
              <w:pStyle w:val="Normal"/>
              <w:rPr/>
            </w:pPr>
            <w:r>
              <w:rPr>
                <w:sz w:val="28"/>
                <w:szCs w:val="28"/>
              </w:rPr>
              <w:t>средства бюджета города - 8125,0 тыс. рублей;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  <w:lang w:eastAsia="ru-RU"/>
              </w:rPr>
              <w:t>средства внебюджетные — 0 тыс. рублей.</w:t>
            </w:r>
          </w:p>
        </w:tc>
      </w:tr>
    </w:tbl>
    <w:p>
      <w:pPr>
        <w:pStyle w:val="Normal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lang w:bidi="hi-IN"/>
        </w:rPr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lang w:bidi="hi-IN"/>
        </w:rPr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/>
          <w:b/>
          <w:bCs/>
          <w:sz w:val="28"/>
          <w:szCs w:val="28"/>
          <w:lang w:bidi="hi-IN"/>
        </w:rPr>
        <w:t xml:space="preserve">Раздел 1. </w:t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/>
          <w:b/>
          <w:bCs/>
          <w:sz w:val="28"/>
          <w:szCs w:val="28"/>
          <w:lang w:bidi="hi-IN"/>
        </w:rPr>
        <w:t>Общая характеристика сферы реализации Программы.</w:t>
      </w:r>
    </w:p>
    <w:p>
      <w:pPr>
        <w:pStyle w:val="Normal"/>
        <w:jc w:val="both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</w:t>
      </w:r>
      <w:r>
        <w:rPr>
          <w:rFonts w:eastAsia="Lucida Sans Unicode" w:cs="Mangal"/>
          <w:sz w:val="28"/>
          <w:szCs w:val="28"/>
          <w:lang w:bidi="hi-IN"/>
        </w:rPr>
        <w:t xml:space="preserve">Отрасль культуры занимает особое место в жизни общества, являясь основным фактором, формирующим нравственно-эстетические принципы, развивающим духовную индивидуальность личности. Осознана роль культуры в формировании образа жизни и определении качества жизни.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 </w:t>
      </w:r>
      <w:r>
        <w:rPr>
          <w:rFonts w:eastAsia="Lucida Sans Unicode" w:cs="Mangal"/>
          <w:sz w:val="28"/>
          <w:szCs w:val="28"/>
          <w:lang w:bidi="hi-IN"/>
        </w:rPr>
        <w:t xml:space="preserve">Город Кирсанов обладает хорошей культурной средой, культурным потенциалом, который вместе с тем используется не в полной мере. Необходимо укреплять сеть существующих учреждений культуры и искусства города, поскольку именно они обеспечивают историческую преемственность поколений, сохранений, распространение и развитие сферы культуры и духовно-нравственных ценностей.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 </w:t>
      </w:r>
      <w:r>
        <w:rPr>
          <w:rFonts w:eastAsia="Lucida Sans Unicode" w:cs="Mangal"/>
          <w:sz w:val="28"/>
          <w:szCs w:val="28"/>
          <w:lang w:bidi="hi-IN"/>
        </w:rPr>
        <w:t>В городе оптимальная сеть учреждений культуры и искусства: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МБУК ЦД «Золотой Витязь»,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МБОУ ДОД «Кирсановская детская школа искусств»,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>МБУК «Кирсановский краеведческий музей»,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МБУК «Кирсановская городская библиотека», которые выполняют образовательные, воспитательные, информационные, досуговые функции, способствуют формированию нравственно-эстетических основ, духовных потребностей и ценностных ориентаций населения. Вместе с тем, многие проблемы сферы культуры города пока остаются нерешенными. Здания, в которых расположено большинство учреждений культуры, требуют капитального ремонта. Выделяемых средств на их содержание недостаточно. Материально-техническая база учреждений культуры одна из главных проблем отрасли и требует дальнейшего укрепления, что возможно при увеличении объемов финансирования. Наболевшей проблемой является высокая степень износа музыкальных инструментов, видео-аудио оборудования. На сегодняшний день учреждения культуры испытывают острый дефицит в квалифицированных кадрах. Уход специалистов из сферы культуры и слабый приток молодежи снижают эффективность работы. В большинстве учреждений культуры наблюдается ярко выраженная тенденция старения кадров, низкий процент работников с высшим образованием.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 Необходимость решения указанных в настоящей Программе задач вытекает из закрепленной Конституцией и действующем законодательстве обязательности предоставления за счет бюджета услуг по организации обслуживания населения муниципальными учреждениями культуры. При этом решение этих задач должно проводится с использованием программно-целевого метода, что обеспечит больший уровень эффективности использования бюджетных ресурсов и связь их объемов с достижением планируемых результатов. Программа определяет объемы и источники финансирования на каждое мероприятие, устанавливает ответственных за реализацию этих мероприятий и отражает показатели результативности от проведения мероприятий. </w:t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Раздел 2.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Приоритеты региональной государственной политики и социально-экономического развития города в сфере реализации муниципальной Программы, цели, задачи, сроки и этапы реализации муниципальной Программы.</w:t>
      </w:r>
      <w:r>
        <w:rPr>
          <w:rFonts w:eastAsia="Lucida Sans Unicode" w:cs="Mangal"/>
          <w:sz w:val="28"/>
          <w:szCs w:val="28"/>
          <w:lang w:bidi="hi-IN"/>
        </w:rPr>
        <w:t xml:space="preserve"> 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 </w:t>
      </w:r>
      <w:r>
        <w:rPr>
          <w:rFonts w:eastAsia="Lucida Sans Unicode" w:cs="Mangal"/>
          <w:sz w:val="28"/>
          <w:szCs w:val="28"/>
          <w:lang w:bidi="hi-IN"/>
        </w:rPr>
        <w:t>Реализация Программы будет осуществляться в соответствии со следующими основными приоритетами: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укрепление единого культурного пространства на основе духовно-нравственных ценностей и исторических традиций;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>сохранение культурного и духовного наследия, традиций города как национального богатства и основы единства общества;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обеспечение максимальной доступности для широких слоев населения лучших образцов культуры и искусства;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продвижение в культурном пространстве города нравственных ценностей и образцов, способствующих культурному и гражданскому воспитанию личности; • укрепление материально-технической базы учреждений культуры. Достижение целей программы предполагается посредством решения двух взаимосвязанных и взаимодополняющих задач: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1. Сохранение, пополнение и использование культурного и исторического наследия города,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2. Создание благоприятных условий для устойчивого развития сферы культуры города Кирсанова. Сроки реализации Программы 2014 – 2020 годы в один этап. 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Раздел 3.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Показатели (индикаторы) достижения целей и решения задач, ожидаемые конечные результаты программы</w:t>
      </w:r>
      <w:r>
        <w:rPr>
          <w:rFonts w:eastAsia="Lucida Sans Unicode" w:cs="Mangal"/>
          <w:sz w:val="28"/>
          <w:szCs w:val="28"/>
          <w:lang w:bidi="hi-IN"/>
        </w:rPr>
        <w:t>.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 </w:t>
      </w:r>
      <w:r>
        <w:rPr>
          <w:rFonts w:eastAsia="Lucida Sans Unicode" w:cs="Mangal"/>
          <w:sz w:val="28"/>
          <w:szCs w:val="28"/>
          <w:lang w:bidi="hi-IN"/>
        </w:rPr>
        <w:t xml:space="preserve">В основе Программы: положения, ориентированные на преемственность развития культурных традиций, модернизацию технического и технологического оснащения учреждений культуры и искусства, совершенствование системы музыкального и художественного образования, привлечение внимания к отрасли с целью участия в культурной жизни города большего числа людей.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</w:t>
      </w:r>
      <w:r>
        <w:rPr>
          <w:rFonts w:eastAsia="Lucida Sans Unicode" w:cs="Mangal"/>
          <w:sz w:val="28"/>
          <w:szCs w:val="28"/>
          <w:lang w:bidi="hi-IN"/>
        </w:rPr>
        <w:t>Оценка эффективности реализации Программы будет осуществляться на основе следующих показателей: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sz w:val="28"/>
          <w:szCs w:val="28"/>
          <w:lang w:bidi="hi-IN"/>
        </w:rPr>
        <w:t>- увеличение количества посещений концертов, спектаклей, гастролей, других культурно-досуговых мероприятий на 1000 жителей (8208);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sz w:val="28"/>
          <w:szCs w:val="28"/>
          <w:lang w:bidi="hi-IN"/>
        </w:rPr>
        <w:t xml:space="preserve">- прирост количества мероприятий, проводимых учреждениями культуры и искусства (8%);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- повышение уровня удовлетворенности жителей города качеством предоставленных муниципальных услуг в сфере культуры (94%);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- увеличение количества зрителей и участников культурно-досуговых мероприятий (141200);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- прирост доли участников – культурно-досуговых мероприятий, любительских объединений и клубов по интересам (71,4%);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- увеличение удельного веса населения, участвующего в платных культурно-досуговых мероприятиях (222,6%);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- охват детей 7-15 лет дополнительным художественным образованием (27,3%); - увеличение количества лауреатов и дипломантов фестивалей и конкурсов (международных, межрегиональных, областных, межмуниципальных (55ч.);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sz w:val="28"/>
          <w:szCs w:val="28"/>
          <w:lang w:bidi="hi-IN"/>
        </w:rPr>
        <w:t xml:space="preserve">- увеличение количества пользователей услугами «Кирсановской городской библиотеки» (2600 ч.);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- увеличение книгообеспеченности на 1 пользователя «Кирсановской городской библиотеки» (19,3 экз.);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sz w:val="28"/>
          <w:szCs w:val="28"/>
          <w:lang w:bidi="hi-IN"/>
        </w:rPr>
        <w:t xml:space="preserve">- увеличение книжного фонда Кирсановской городской библиотеки» (47,1%); - увеличение доли электронного каталога «Кирсановской городской библиотеки» (85,6%);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- увеличение доли, выставленных музейных экспонатов «Кирсановского краеведческого музея» (12,8%);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- увеличение количества музейных выставок, в том числе и мобильных, «Кирсановского краеведческого музея» (30 ед.).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Эффективность реализации Программы зависит от уровня финансирования мероприятий Программы и их выполнения. Перечень показателей (индикаторов) Программы приведен в Приложении №1к Программе.</w:t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Раздел 4.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Обобщенная характеристика мероприятий Программы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</w:t>
      </w:r>
      <w:r>
        <w:rPr>
          <w:rFonts w:eastAsia="Lucida Sans Unicode" w:cs="Mangal"/>
          <w:sz w:val="28"/>
          <w:szCs w:val="28"/>
          <w:lang w:bidi="hi-IN"/>
        </w:rPr>
        <w:t xml:space="preserve">Мероприятия Программы включены в три подпрограммы.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Подпрограмма 1 « Культура»</w:t>
      </w:r>
      <w:r>
        <w:rPr>
          <w:rFonts w:eastAsia="Lucida Sans Unicode" w:cs="Mangal"/>
          <w:sz w:val="28"/>
          <w:szCs w:val="28"/>
          <w:lang w:bidi="hi-IN"/>
        </w:rPr>
        <w:t xml:space="preserve"> на 2014 - 2024 годы предусматривает решение следующих задач: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обеспечение оказания культурно-досуговых услуг населению;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обеспечение работы любительских объединений и коллективов,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стимулирование их к участию в фестивалях, творческих конкурсах;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поддержка творческой деятельности граждан,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>создание условий для снижения текучести кадров и укрепления кадрового потенциала в учреждениях культуры и искусства;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>укрепление материально-технической базы в учреждениях культуры и искусства;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• </w:t>
      </w:r>
      <w:r>
        <w:rPr>
          <w:rFonts w:eastAsia="Lucida Sans Unicode" w:cs="Mangal"/>
          <w:sz w:val="28"/>
          <w:szCs w:val="28"/>
          <w:lang w:bidi="hi-IN"/>
        </w:rPr>
        <w:t xml:space="preserve">выявление талантливых детей.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Мероприятия, предусмотренные </w:t>
      </w:r>
      <w:r>
        <w:rPr>
          <w:rFonts w:eastAsia="Lucida Sans Unicode" w:cs="Mangal"/>
          <w:b/>
          <w:sz w:val="28"/>
          <w:szCs w:val="28"/>
          <w:lang w:bidi="hi-IN"/>
        </w:rPr>
        <w:t>Подпрограммой 2 «Наследие»,</w:t>
      </w:r>
      <w:r>
        <w:rPr>
          <w:rFonts w:eastAsia="Lucida Sans Unicode" w:cs="Mangal"/>
          <w:sz w:val="28"/>
          <w:szCs w:val="28"/>
          <w:lang w:bidi="hi-IN"/>
        </w:rPr>
        <w:t xml:space="preserve"> направлены на сохранение культурного и исторического наследия, расширение доступа населения к культурным ценностям и информации.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b/>
          <w:sz w:val="28"/>
          <w:szCs w:val="28"/>
          <w:lang w:bidi="hi-IN"/>
        </w:rPr>
        <w:t>Подпрограмма 3 «Организация и проведение городских общественно значимых массовых мероприятий» на 2014-2024 годы</w:t>
      </w:r>
      <w:r>
        <w:rPr>
          <w:rFonts w:eastAsia="Lucida Sans Unicode" w:cs="Mangal"/>
          <w:sz w:val="28"/>
          <w:szCs w:val="28"/>
          <w:lang w:bidi="hi-IN"/>
        </w:rPr>
        <w:t xml:space="preserve"> предусматривает решение следующих задач: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организация и проведение массовых мероприятий;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развитие культурно-массовых форм досуга;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• </w:t>
      </w:r>
      <w:r>
        <w:rPr>
          <w:rFonts w:eastAsia="Lucida Sans Unicode" w:cs="Mangal"/>
          <w:sz w:val="28"/>
          <w:szCs w:val="28"/>
          <w:lang w:bidi="hi-IN"/>
        </w:rPr>
        <w:t xml:space="preserve">оказание поддержки самодеятельным коллективам в обеспечении их творческой деятельности. </w:t>
      </w:r>
    </w:p>
    <w:p>
      <w:pPr>
        <w:pStyle w:val="Normal"/>
        <w:jc w:val="both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    </w:t>
      </w:r>
      <w:r>
        <w:rPr>
          <w:rFonts w:eastAsia="Lucida Sans Unicode" w:cs="Mangal"/>
          <w:sz w:val="28"/>
          <w:szCs w:val="28"/>
          <w:lang w:bidi="hi-IN"/>
        </w:rPr>
        <w:t xml:space="preserve">Для каждого мероприятия определены ответственные исполнители, а также установлены объемы финансирования за счет средств городского бюджета, областного бюджета, внебюджетных средств. Перечень мероприятий Программы приведен в Приложении №2 к Программе. </w:t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Раздел 5.</w:t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Обоснование объема финансовых ресурсов, необходимых для реализации Программы.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Основными источниками финансирования Программы являются средства бюджета города, бюджета области и внебюджетные средства. Предполагаемый объем финансирования необходим для достижения целей программы посредством решения задач: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- сохранение, пополнение и использование культурного и исторического наследия города,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sz w:val="28"/>
          <w:szCs w:val="28"/>
          <w:lang w:bidi="hi-IN"/>
        </w:rPr>
        <w:t>- создание благоприятных условий для устойчивого развития сферы культуры города Кирсанова;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- формирование привлекательного туристского имиджа города, создание благоприятных условий для устойчивого развития туризма.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Предполагаемый объем  средств финансирования Программы составляет 188632,605тыс.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федерального бюджета  – 31730,8 тыс. рублей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– 13914,2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137708,3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— 5252,305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2014 год- 8988,3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– 214,3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8663,0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- 111,0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2015 год- 9571,3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- 49,0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9411,3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- 111,0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2016 год- 14339,605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- 46,7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9252,2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– 5040,705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2017 год – 17858,4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- 3639,4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14202,0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2018 год- 7472,6тыс.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– 9840,6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8247,9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– 17, 0 тыс. рублей.</w:t>
        <w:tab/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2019 год- 43215,9  тыс. рублей, в том числе: 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– 49,5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города- 43166,4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2020 год- 14622,2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области – 41,0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14576,2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2021год- 10524,3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10485,0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2022 год- 41415,1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– 9645,0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областного бюджета- 39,3 тыс.руб.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 w:ascii="Liberation Serif" w:hAnsi="Liberation Serif"/>
          <w:sz w:val="28"/>
          <w:szCs w:val="28"/>
          <w:lang w:eastAsia="ru-RU" w:bidi="hi-IN"/>
        </w:rPr>
        <w:t xml:space="preserve">средства федерального бюджета —  </w:t>
      </w:r>
      <w:r>
        <w:rPr>
          <w:rFonts w:eastAsia="Lucida Sans Unicode"/>
          <w:sz w:val="28"/>
          <w:szCs w:val="28"/>
          <w:lang w:eastAsia="ru-RU" w:bidi="hi-IN"/>
        </w:rPr>
        <w:t>31730,8</w:t>
      </w:r>
      <w:r>
        <w:rPr>
          <w:rFonts w:eastAsia="Lucida Sans Unicode" w:cs="Mangal" w:ascii="Liberation Serif" w:hAnsi="Liberation Serif"/>
          <w:sz w:val="28"/>
          <w:szCs w:val="28"/>
          <w:lang w:eastAsia="ru-RU" w:bidi="hi-IN"/>
        </w:rPr>
        <w:t xml:space="preserve"> рублей</w:t>
      </w:r>
      <w:r>
        <w:rPr>
          <w:rFonts w:eastAsia="Lucida Sans Unicode" w:cs="Mangal"/>
          <w:sz w:val="28"/>
          <w:szCs w:val="28"/>
          <w:lang w:bidi="hi-IN"/>
        </w:rPr>
        <w:t>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2023 год- 8142,0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- 8125,0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2024 год- 8142,0 тыс. рублей, в том числе: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бюджета города - 8125,0 тыс. рублей;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Объемы средств, выделяемых на реализацию мероприятий  Программы, подлежат ежегодному уточнению с учетом возможностей бюджета города, бюджета области, внебюджетных средств.</w:t>
      </w:r>
    </w:p>
    <w:p>
      <w:pPr>
        <w:pStyle w:val="Normal"/>
        <w:jc w:val="center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>Раздел 6.</w:t>
      </w:r>
    </w:p>
    <w:p>
      <w:pPr>
        <w:pStyle w:val="Normal"/>
        <w:jc w:val="center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  <w:t xml:space="preserve"> </w:t>
      </w:r>
      <w:r>
        <w:rPr>
          <w:rFonts w:eastAsia="Lucida Sans Unicode" w:cs="Mangal"/>
          <w:b/>
          <w:sz w:val="28"/>
          <w:szCs w:val="28"/>
          <w:lang w:bidi="hi-IN"/>
        </w:rPr>
        <w:t>Механизмы реализации Программы.</w:t>
      </w:r>
      <w:r>
        <w:rPr>
          <w:rFonts w:eastAsia="Lucida Sans Unicode" w:cs="Mangal"/>
          <w:sz w:val="28"/>
          <w:szCs w:val="28"/>
          <w:lang w:bidi="hi-IN"/>
        </w:rPr>
        <w:t xml:space="preserve"> </w:t>
      </w:r>
    </w:p>
    <w:p>
      <w:pPr>
        <w:pStyle w:val="Normal"/>
        <w:jc w:val="both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>Механизм реализации Программы - это система программных мероприятий, скоординированных по объему финансирования и ответственным исполнителям, обеспечивающих достижение намеченных целей и результатов. Ответственным исполнителем Программы является отдел по культуре, делам молодежи, физической культуре и спорту администрации города. Соисполнителями - МБУК ЦД «Золотой Витязь», МБОУ ДОД «Кирсановская детская школа искусств», МБУК «Кирсановский краеведческий музей», МБУК «Кирсановская городская библиотека». Контроль за использованием бюджетных средств осуществляет финансовое управление администрации города. Отчеты о ходе реализации программы рассматриваются на коллегиях администрации города не реже одного раза в год.</w:t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/>
          <w:b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sectPr>
          <w:type w:val="nextPage"/>
          <w:pgSz w:w="11906" w:h="16838"/>
          <w:pgMar w:left="1134" w:right="1134" w:header="0" w:top="672" w:footer="0" w:bottom="1134" w:gutter="0"/>
          <w:pgNumType w:fmt="decimal"/>
          <w:formProt w:val="false"/>
          <w:textDirection w:val="lrTb"/>
          <w:docGrid w:type="default" w:linePitch="600" w:charSpace="4294961151"/>
        </w:sect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eastAsia="ru-RU"/>
        </w:rPr>
        <w:t>ПРИЛОЖЕНИЕ № 2</w:t>
      </w:r>
    </w:p>
    <w:p>
      <w:pPr>
        <w:pStyle w:val="Normal"/>
        <w:suppressAutoHyphens w:val="false"/>
        <w:spacing w:beforeAutospacing="1" w:after="0"/>
        <w:ind w:left="9202" w:hanging="0"/>
        <w:rPr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>к постановлению администрации города</w:t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eastAsia="ru-RU"/>
        </w:rPr>
        <w:t>от «_____» ____________  2021г. № ______</w:t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r>
        <w:rPr>
          <w:color w:val="000000"/>
          <w:sz w:val="28"/>
          <w:szCs w:val="28"/>
          <w:shd w:fill="FFFFFF" w:val="clear"/>
          <w:lang w:eastAsia="ru-RU"/>
        </w:rPr>
        <w:t xml:space="preserve">Перечень мероприятий муниципальной программы города Кирсанова Тамбовской области «Развитие культуры и туризма» </w:t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r>
        <w:rPr>
          <w:color w:val="000000"/>
          <w:sz w:val="28"/>
          <w:szCs w:val="28"/>
          <w:shd w:fill="FFFFFF" w:val="clear"/>
          <w:lang w:eastAsia="ru-RU"/>
        </w:rPr>
        <w:t xml:space="preserve">на 2014-2024 годы </w:t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tbl>
      <w:tblPr>
        <w:tblW w:w="15855" w:type="dxa"/>
        <w:jc w:val="left"/>
        <w:tblInd w:w="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10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3"/>
        <w:gridCol w:w="2035"/>
        <w:gridCol w:w="1580"/>
        <w:gridCol w:w="27"/>
        <w:gridCol w:w="1613"/>
        <w:gridCol w:w="1"/>
        <w:gridCol w:w="1573"/>
        <w:gridCol w:w="2"/>
        <w:gridCol w:w="1049"/>
        <w:gridCol w:w="2"/>
        <w:gridCol w:w="588"/>
        <w:gridCol w:w="2"/>
        <w:gridCol w:w="1262"/>
        <w:gridCol w:w="1"/>
        <w:gridCol w:w="1373"/>
        <w:gridCol w:w="2"/>
        <w:gridCol w:w="862"/>
        <w:gridCol w:w="2"/>
        <w:gridCol w:w="1056"/>
        <w:gridCol w:w="2"/>
        <w:gridCol w:w="2149"/>
      </w:tblGrid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№ </w:t>
            </w:r>
            <w:r>
              <w:rPr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Наименование </w:t>
              <w:br/>
              <w:t xml:space="preserve">основного </w:t>
              <w:br/>
              <w:t>мероприятия</w:t>
            </w:r>
          </w:p>
        </w:tc>
        <w:tc>
          <w:tcPr>
            <w:tcW w:w="160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Ответственный</w:t>
              <w:br/>
              <w:t xml:space="preserve">исполнитель, </w:t>
              <w:br/>
              <w:t>соисполнители</w:t>
            </w:r>
          </w:p>
        </w:tc>
        <w:tc>
          <w:tcPr>
            <w:tcW w:w="4828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Ожидаемые непосредственные результаты</w:t>
            </w:r>
          </w:p>
        </w:tc>
        <w:tc>
          <w:tcPr>
            <w:tcW w:w="6711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Объемы финансирования, тыс. рублей, в т.ч.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0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единица </w:t>
              <w:br/>
              <w:t>измерения</w:t>
            </w:r>
          </w:p>
        </w:tc>
        <w:tc>
          <w:tcPr>
            <w:tcW w:w="16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значение (по годам реализации мероприятия)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 годам, всего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области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города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внебюджетные средства</w:t>
            </w:r>
          </w:p>
        </w:tc>
      </w:tr>
      <w:tr>
        <w:trPr/>
        <w:tc>
          <w:tcPr>
            <w:tcW w:w="6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4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</w:tr>
      <w:tr>
        <w:trPr/>
        <w:tc>
          <w:tcPr>
            <w:tcW w:w="15854" w:type="dxa"/>
            <w:gridSpan w:val="2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fill="FFFFFF" w:val="clear"/>
                <w:lang w:eastAsia="ru-RU"/>
              </w:rPr>
              <w:t>Подпрограмма 1 «Культура» на 2014-2024 годы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Основное мероп-риятие «Создание благоприятных условий для устойчивого развития сферы культуры»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Учреждения культуры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Количеством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13695,105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8740,4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4954,705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9138,3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7677,0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37151,0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37151,0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14576,2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14576,2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10460,0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10460,0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41350,8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Оказание муниципальных услуг и обеспечение деятельности муниципальных учреждений культуры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Учреждения культуры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Количеством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6800,5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6516,0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6637,4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6637,4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9138,3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7677,0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8347,9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37151,0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37151,0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14576,2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14576,2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1.1.2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Создание условий для показа национальных фильмов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5602,205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647,5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4954,705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1.1.3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Приобретение сценических костюмов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1.1.4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Приобретение звуко-светотехнического оборудования для МБУК Центр досуга «Золотой витязь»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1431,0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1431,0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Основное мероприятие «Организация и проведение мероприятий»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1876,2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1799,2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77,0 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2947,3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2870,3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555,8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5990,0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Приобретение, монтаж и установ-ка аттракционов, детского игрового оборудования, ограждения для аттракционов, парковых фигурок, кабины оператора для городского парка, расположенного по ул. 50 лет Победы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2026,72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1966,72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546,8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Благоустройство территории городского парка, расположенного по ул. 50 лет Победы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699,2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699,2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194,1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194,1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1.2.3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Ремонт музыкальных инструментов МБОУ ДО «Кирсановская детская школа искусств»»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МБОУ ДО «Кирсановская ДШИ»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1.2.4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Межрегиональный конкурс «Любимые звуки музыки»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ДШИ»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1.2.5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Межрегиональный конкурс ансамблей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ДШИ»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1.2.6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Проведение городских и межмуниципальных Фестивалей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1.2.7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Поддержка обменных акций в рамках соглашений о культурном сотрудничестве г.Кирсанова с другими регионами области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витязь», МБОУ ДО «Кирсановская ДШИ»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1.2.8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Сохранение, использование и популяризация объектов культурного наследия: - работы и оснащение музейного пространства в здании-памятнике (МБУК «Кирсановский краеведческий музей»)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5990,0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5990,0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1.2.9.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Сохранение, использование и популяризация объектов культурного наследия: -реконструкция здания МБУК «Кирсановский краеведческий музей»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1.2.10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Приобретение, монтаж и установка уличной сцены на городской площади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485,48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485,48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1.2.11</w:t>
            </w:r>
          </w:p>
        </w:tc>
        <w:tc>
          <w:tcPr>
            <w:tcW w:w="2035" w:type="dxa"/>
            <w:vMerge w:val="restart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Сохранение, использование и популяризация объектов культурного наследия: -организация доступности к объектам культурного наследия маломобильных групп населения в здании-памятнике (МБУК «Кирсановский краеведческий музей»)</w:t>
            </w:r>
          </w:p>
        </w:tc>
        <w:tc>
          <w:tcPr>
            <w:tcW w:w="1580" w:type="dxa"/>
            <w:vMerge w:val="restart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75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276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185505,205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11284,0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137312,27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5177,705</w:t>
            </w:r>
          </w:p>
        </w:tc>
      </w:tr>
      <w:tr>
        <w:trPr/>
        <w:tc>
          <w:tcPr>
            <w:tcW w:w="15854" w:type="dxa"/>
            <w:gridSpan w:val="2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fill="FFFFFF" w:val="clear"/>
                <w:lang w:eastAsia="ru-RU"/>
              </w:rPr>
              <w:t>Подпрограмма 2 «Наследие» на 2014-2024 годы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234,3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214,3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25,2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75,6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70,6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4,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10,4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5,4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Комплектование фондов «Кирсановской городской библиотеки»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10,5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4,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10,4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5.0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5,4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проекта «Создание общероссийской системы доступа к национальной электронной библиотеке»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2.1.3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Единовременные стимулирующие выплаты лучшим работникам муниципальных учреждений культуры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библиотека», 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65,1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Архивный отдел администрации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39,2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39,2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2.2.1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Хранение, комплектование, учет и использование архивных документов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Архивный отдел администрации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39,2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39,2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2.3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«Сохранение и популяризация народного творчества, любительского искусства»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2.3.1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Издания видео и аудио альбомов ведущих творческих коллективов и исполнителей города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2.4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2068,3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2068,3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75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2825,4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2657,2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93,6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74,6</w:t>
            </w:r>
          </w:p>
        </w:tc>
      </w:tr>
      <w:tr>
        <w:trPr/>
        <w:tc>
          <w:tcPr>
            <w:tcW w:w="15854" w:type="dxa"/>
            <w:gridSpan w:val="2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Подпрограмма 3 «Организация и проведение городских общественно значимых массовых мероприятий» на 2014-2024 годы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«Организация и проведение городских мероприятий»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проведенных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3.1.1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pacing w:val="4"/>
                <w:sz w:val="22"/>
                <w:szCs w:val="22"/>
                <w:shd w:fill="FFFFFF" w:val="clear"/>
                <w:lang w:eastAsia="ru-RU"/>
              </w:rPr>
              <w:t>Мероприятия, посвященные государственным и профессиональным праздникам, международным праздникам и дням, памятным датам и знаменательным событиям. Народные гуляния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Центр Досуга «Золотой Витязь»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проведенных 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75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102,0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102,0</w:t>
            </w:r>
          </w:p>
        </w:tc>
      </w:tr>
      <w:tr>
        <w:trPr/>
        <w:tc>
          <w:tcPr>
            <w:tcW w:w="15854" w:type="dxa"/>
            <w:gridSpan w:val="2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Подпрограмма 4 «Развитие туризма» на 2014 - 2024 годы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hd w:fill="FFFFFF" w:val="clear"/>
                <w:lang w:eastAsia="ru-RU"/>
              </w:rPr>
              <w:t>Основное мероприятие «Реализация мероприятий в сфере туризма»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 МБУ ДО «ДЮСШ»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4.1.1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Обновление, укрепление и модернизация материально-технической базы городских образовательных учреждений дополнительного образования для занятий туризмом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 ДО «ДЮСШ»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Количество приобретенного инвентаря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4.1.2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и проведение мероприятий, посвященных памятным датам, спортивных мероприятий с целью привлечения дополнительных туристских потоков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4.1.3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Продвижение туристских продуктов: изготовление буклетов, рекламных щитов и создание видеороликов, освещающих вопросы развития туризма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4.1.4</w:t>
            </w:r>
          </w:p>
        </w:tc>
        <w:tc>
          <w:tcPr>
            <w:tcW w:w="20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Материально-техническая поддержка для осуществления рекламно-информационной деятельности (приобретение оргтехники, фото- и видеотехники, компьютерных программ)</w:t>
            </w:r>
          </w:p>
        </w:tc>
        <w:tc>
          <w:tcPr>
            <w:tcW w:w="15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города,, МБУК «Кирсановский краеведческий музей»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</w:p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мероприятий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19,0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2018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67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03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8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641" w:type="dxa"/>
            <w:gridSpan w:val="3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57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1051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590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263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375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14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>-</w:t>
            </w:r>
          </w:p>
        </w:tc>
      </w:tr>
      <w:tr>
        <w:trPr/>
        <w:tc>
          <w:tcPr>
            <w:tcW w:w="75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по итогам реализации подпрограммы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75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shd w:fill="FFFFFF" w:val="clear"/>
                <w:lang w:eastAsia="ru-RU"/>
              </w:rPr>
              <w:t>Всего по итогам реализации программы</w:t>
            </w:r>
          </w:p>
        </w:tc>
        <w:tc>
          <w:tcPr>
            <w:tcW w:w="10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2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b/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188632,605</w:t>
            </w:r>
          </w:p>
        </w:tc>
        <w:tc>
          <w:tcPr>
            <w:tcW w:w="13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b/>
                <w:b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86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b/>
                <w:b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13941,2</w:t>
            </w:r>
          </w:p>
        </w:tc>
        <w:tc>
          <w:tcPr>
            <w:tcW w:w="10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b/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137708,3</w:t>
            </w:r>
          </w:p>
        </w:tc>
        <w:tc>
          <w:tcPr>
            <w:tcW w:w="21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5252,305</w:t>
            </w:r>
          </w:p>
        </w:tc>
      </w:tr>
    </w:tbl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jc w:val="right"/>
        <w:rPr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>ПРИЛОЖЕНИЕ № 3</w:t>
      </w:r>
    </w:p>
    <w:p>
      <w:pPr>
        <w:pStyle w:val="Normal"/>
        <w:suppressAutoHyphens w:val="false"/>
        <w:spacing w:beforeAutospacing="1" w:after="0"/>
        <w:ind w:left="9202" w:firstLine="709"/>
        <w:jc w:val="right"/>
        <w:rPr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>к постановлению администрации города</w:t>
      </w:r>
    </w:p>
    <w:p>
      <w:pPr>
        <w:pStyle w:val="Normal"/>
        <w:suppressAutoHyphens w:val="false"/>
        <w:spacing w:beforeAutospacing="1" w:after="0"/>
        <w:jc w:val="right"/>
        <w:rPr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>от «_____»  ___________г. № ______</w:t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bookmarkStart w:id="1" w:name="YANDEX_121"/>
      <w:bookmarkStart w:id="2" w:name="YANDEX_121"/>
      <w:bookmarkEnd w:id="2"/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r>
        <w:rPr>
          <w:color w:val="000000"/>
          <w:sz w:val="26"/>
          <w:szCs w:val="26"/>
          <w:shd w:fill="FFFFFF" w:val="clear"/>
          <w:lang w:eastAsia="ru-RU"/>
        </w:rPr>
        <w:t xml:space="preserve">Ресурсное обеспечение реализации муниципальной программы города Кирсанова Тамбовской области </w:t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bookmarkStart w:id="3" w:name="YANDEX_201"/>
      <w:bookmarkStart w:id="4" w:name="YANDEX_191"/>
      <w:bookmarkEnd w:id="3"/>
      <w:bookmarkEnd w:id="4"/>
      <w:r>
        <w:rPr>
          <w:color w:val="000000"/>
          <w:sz w:val="26"/>
          <w:szCs w:val="26"/>
          <w:shd w:fill="FFFFFF" w:val="clear"/>
          <w:lang w:eastAsia="ru-RU"/>
        </w:rPr>
        <w:t>«Развитие культуры и туризма» на 2014– 2024 годы</w:t>
      </w:r>
    </w:p>
    <w:p>
      <w:p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tbl>
      <w:tblPr>
        <w:tblW w:w="15270" w:type="dxa"/>
        <w:jc w:val="left"/>
        <w:tblInd w:w="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10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278"/>
        <w:gridCol w:w="2125"/>
        <w:gridCol w:w="2870"/>
        <w:gridCol w:w="850"/>
        <w:gridCol w:w="1306"/>
        <w:gridCol w:w="1391"/>
        <w:gridCol w:w="986"/>
        <w:gridCol w:w="1078"/>
        <w:gridCol w:w="2384"/>
      </w:tblGrid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Наименование муниципальной программы Тамбовской области, подпрограммы муниципальной программы, мероприятия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799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Объемы финансирования, тыс. рублей, в т.ч.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5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 годам, всего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области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бюджет города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внебюджетные средства</w:t>
            </w:r>
          </w:p>
        </w:tc>
      </w:tr>
      <w:tr>
        <w:trPr/>
        <w:tc>
          <w:tcPr>
            <w:tcW w:w="22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5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bookmarkStart w:id="5" w:name="YANDEX_3411"/>
            <w:bookmarkStart w:id="6" w:name="YANDEX_3511"/>
            <w:bookmarkEnd w:id="5"/>
            <w:bookmarkEnd w:id="6"/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Муниципальная программа города Кирсанова Тамбовской области</w:t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bookmarkStart w:id="7" w:name="YANDEX_371"/>
            <w:bookmarkStart w:id="8" w:name="YANDEX_381"/>
            <w:bookmarkStart w:id="9" w:name="YANDEX_391"/>
            <w:bookmarkEnd w:id="7"/>
            <w:bookmarkEnd w:id="8"/>
            <w:bookmarkEnd w:id="9"/>
            <w:r>
              <w:rPr>
                <w:color w:val="000000"/>
                <w:sz w:val="22"/>
                <w:szCs w:val="22"/>
                <w:lang w:eastAsia="ru-RU"/>
              </w:rPr>
              <w:t>«Развитие культуры и туризма» на 2014 – 2024годы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8988,3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8663,0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9571,3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9411,3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ind w:left="-221" w:firstLine="22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14339,605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9252,2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5040,705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17858,4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3639,4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14202,0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9822,7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8217,3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43215.9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49,5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43166.4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14622,2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14581,2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10524,3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10485,0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41415,1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31730,8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9645,0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8142,6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8125,0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8142,6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8125,0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политике, отдел по развитию физической культуры, спорта и туризма администрации города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1721,2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1719,2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2668,3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2666,3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506,8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506,8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1890,4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7967,5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167,5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7800,0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9800,0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2294,4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2294,4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Центр Досуга «Золотой Витязь»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3974,5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3890,5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84,0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3669,0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3583,0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10840,005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5801,3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5038,705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7907,8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3203,8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4687,0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4547,0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1842,3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1613,0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1646,2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1626,0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1602,4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1597,4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1923,9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228,9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1695,0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22,7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2791,0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детская школа искусств»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Архивный отдел администрации города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2020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ind w:right="11" w:hanging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«Культура» </w:t>
            </w:r>
          </w:p>
          <w:p>
            <w:pPr>
              <w:pStyle w:val="Normal"/>
              <w:suppressAutoHyphens w:val="false"/>
              <w:spacing w:beforeAutospacing="1" w:after="119"/>
              <w:ind w:right="11" w:hanging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 2014 – 2024 годы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8676,7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8599,7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9463,3 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9386,3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14250,905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9227,2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5023,705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15638,3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1461,3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14177,0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18040,0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43141.0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43141,0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14576,2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14576,2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10460,0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41350,8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31730,8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 администрации города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1699,2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1699,2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2646,3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2646,3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486,8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«Кирсановский краеведческий музей»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1402,0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1536,0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1346,7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7867,5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167,5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7800,0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11404,0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11404,0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Центр Досуга «Золотой Витязь»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3957,5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3890,5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3652,0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3583,0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10823,005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5801,3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5021,705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5757,4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1070,4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4687,0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4730,0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4730,0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7600,4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4530,0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«Кирсановская городская библиотека»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1608,0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1608,0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1621,0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1592,4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1592,4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1913,4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223,4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1690,0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1928,3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1928,3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2791,0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МБОУ ДО «Кирсановская детская школа искусств»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2</w:t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«Наследие» на 2014-2024 годы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274,6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2183,1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2178,1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54.9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49.5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культуре и молодежной политике администрации города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«Кирсановская городская библиотека»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234,3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214,3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5,2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4,9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10,4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5.0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5,4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МБУК Центр досуга «Золотой витязь»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2133,4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2133,4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FFF" w:val="clear"/>
                <w:lang w:eastAsia="ru-RU"/>
              </w:rPr>
              <w:t>Архивный отдел администрации города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43,8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41,7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39,2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40,6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44.5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44,5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39,3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39,3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3</w:t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ind w:right="11" w:hanging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«Организация и проведение городских общественно значимых массовых мероприятий» на 2014 – 2024 годы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МБУК ЦД «Золотой витязь»</w:t>
            </w:r>
          </w:p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17,0</w:t>
            </w:r>
          </w:p>
        </w:tc>
      </w:tr>
      <w:tr>
        <w:trPr/>
        <w:tc>
          <w:tcPr>
            <w:tcW w:w="22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4</w:t>
            </w:r>
          </w:p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«Развитие туризма» на 2014-2024 годы</w:t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Отдел по развитию физической культуры, спорта и туризма администрации города,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2014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2015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2016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2017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2018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2019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20,0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shd w:fill="FFF200" w:val="clear"/>
                <w:lang w:eastAsia="ru-RU"/>
              </w:rPr>
              <w:t>20,0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val="en-US" w:eastAsia="ru-RU"/>
              </w:rPr>
              <w:t xml:space="preserve">2020 </w:t>
            </w:r>
            <w:r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2021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22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1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287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uppressAutoHyphens w:val="fals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</w:r>
          </w:p>
        </w:tc>
        <w:tc>
          <w:tcPr>
            <w:tcW w:w="850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30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1391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86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20,0</w:t>
            </w:r>
          </w:p>
        </w:tc>
        <w:tc>
          <w:tcPr>
            <w:tcW w:w="238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/>
        <w:tc>
          <w:tcPr>
            <w:tcW w:w="727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 по итогам реализации программы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3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188632,605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31730,8</w:t>
            </w:r>
          </w:p>
        </w:tc>
        <w:tc>
          <w:tcPr>
            <w:tcW w:w="9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13941,2</w:t>
            </w:r>
          </w:p>
        </w:tc>
        <w:tc>
          <w:tcPr>
            <w:tcW w:w="1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137708,3</w:t>
            </w:r>
          </w:p>
        </w:tc>
        <w:tc>
          <w:tcPr>
            <w:tcW w:w="23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  <w:right w:w="108" w:type="dxa"/>
            </w:tcMar>
          </w:tcPr>
          <w:p>
            <w:pPr>
              <w:pStyle w:val="Normal"/>
              <w:suppressAutoHyphens w:val="false"/>
              <w:spacing w:beforeAutospacing="1" w:after="119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5252,305</w:t>
            </w:r>
          </w:p>
        </w:tc>
      </w:tr>
    </w:tbl>
    <w:p>
      <w:pPr>
        <w:sectPr>
          <w:type w:val="nextPage"/>
          <w:pgSz w:orient="landscape" w:w="16838" w:h="11906"/>
          <w:pgMar w:left="1134" w:right="672" w:header="0" w:top="1134" w:footer="0" w:bottom="1134" w:gutter="0"/>
          <w:pgNumType w:fmt="decimal"/>
          <w:formProt w:val="false"/>
          <w:textDirection w:val="lrTb"/>
          <w:docGrid w:type="default" w:linePitch="600" w:charSpace="4294961151"/>
        </w:sectPr>
        <w:pStyle w:val="Normal"/>
        <w:suppressAutoHyphens w:val="false"/>
        <w:spacing w:beforeAutospacing="1" w:after="0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jc w:val="right"/>
        <w:rPr>
          <w:rFonts w:eastAsia="Lucida Sans Unicode" w:cs="Mangal"/>
          <w:sz w:val="28"/>
          <w:szCs w:val="28"/>
          <w:lang w:bidi="hi-IN"/>
        </w:rPr>
      </w:pPr>
      <w:r>
        <w:rPr>
          <w:rFonts w:eastAsia="Lucida Sans Unicode" w:cs="Mangal"/>
          <w:sz w:val="28"/>
          <w:szCs w:val="28"/>
          <w:lang w:bidi="hi-IN"/>
        </w:rPr>
        <w:t xml:space="preserve">Приложение № 4 </w:t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 w:cs="Mangal"/>
          <w:b/>
          <w:b/>
          <w:color w:val="FF0000"/>
          <w:sz w:val="28"/>
          <w:szCs w:val="28"/>
          <w:lang w:bidi="hi-IN"/>
        </w:rPr>
      </w:pPr>
      <w:r>
        <w:rPr>
          <w:rFonts w:eastAsia="Lucida Sans Unicode" w:cs="Mangal"/>
          <w:b/>
          <w:color w:val="FF0000"/>
          <w:sz w:val="28"/>
          <w:szCs w:val="28"/>
          <w:lang w:bidi="hi-IN"/>
        </w:rPr>
      </w:r>
    </w:p>
    <w:p>
      <w:pPr>
        <w:pStyle w:val="Normal"/>
        <w:jc w:val="center"/>
        <w:rPr>
          <w:rFonts w:ascii="Liberation Serif" w:hAnsi="Liberation Serif" w:eastAsia="Lucida Sans Unicode" w:cs="Mangal"/>
          <w:b/>
          <w:b/>
          <w:sz w:val="28"/>
          <w:szCs w:val="28"/>
          <w:lang w:bidi="hi-IN"/>
        </w:rPr>
      </w:pPr>
      <w:r>
        <w:rPr>
          <w:rFonts w:eastAsia="Lucida Sans Unicode" w:cs="Mangal" w:ascii="Liberation Serif" w:hAnsi="Liberation Serif"/>
          <w:b/>
          <w:sz w:val="28"/>
          <w:szCs w:val="28"/>
          <w:lang w:bidi="hi-IN"/>
        </w:rPr>
        <w:t>Паспорт</w:t>
      </w:r>
    </w:p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b/>
          <w:sz w:val="28"/>
          <w:szCs w:val="28"/>
          <w:lang w:bidi="hi-IN"/>
        </w:rPr>
        <w:t xml:space="preserve">подпрограммы «Культура» на </w:t>
      </w:r>
      <w:r>
        <w:rPr>
          <w:b/>
          <w:sz w:val="28"/>
          <w:szCs w:val="28"/>
          <w:lang w:bidi="hi-IN"/>
        </w:rPr>
        <w:t>2014-2024 годы</w:t>
      </w:r>
    </w:p>
    <w:p>
      <w:pPr>
        <w:pStyle w:val="Normal"/>
        <w:widowControl w:val="false"/>
        <w:jc w:val="center"/>
        <w:rPr>
          <w:b/>
          <w:b/>
          <w:color w:val="FF0000"/>
          <w:sz w:val="28"/>
          <w:szCs w:val="28"/>
          <w:lang w:eastAsia="ru-RU" w:bidi="hi-IN"/>
        </w:rPr>
      </w:pPr>
      <w:r>
        <w:rPr>
          <w:b/>
          <w:color w:val="FF0000"/>
          <w:sz w:val="28"/>
          <w:szCs w:val="28"/>
          <w:lang w:eastAsia="ru-RU" w:bidi="hi-IN"/>
        </w:rPr>
      </w:r>
    </w:p>
    <w:tbl>
      <w:tblPr>
        <w:tblW w:w="9619" w:type="dxa"/>
        <w:jc w:val="left"/>
        <w:tblInd w:w="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0" w:type="dxa"/>
          <w:bottom w:w="0" w:type="dxa"/>
          <w:right w:w="75" w:type="dxa"/>
        </w:tblCellMar>
        <w:tblLook w:firstRow="0" w:noVBand="0" w:lastRow="0" w:firstColumn="0" w:lastColumn="0" w:noHBand="0" w:val="0000"/>
      </w:tblPr>
      <w:tblGrid>
        <w:gridCol w:w="2865"/>
        <w:gridCol w:w="6753"/>
      </w:tblGrid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Ответственный исполнитель подпрограммы 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 xml:space="preserve">отдел по культуре и молодежной политике администрации города, 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>Соисполнители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отдел по развитию физической культуры, спорта и туризма администрации города, муниципальное бюджетное учреждение культуры Центр досуга «Золотой витязь»; муниципальное бюджетное учреждение культуры «Кирсановский краеведческий музей»; муниципальное бюджетное учреждение культуры «Кирсановская городская библиотека»; муниципальное бюджетное образовательное учреждения дополнительного образования «Кирсановская детская школа искусств»; муниципальное бюджетное учреждение «Спортивно-оздоровительный клуб «Олимп», а</w:t>
            </w:r>
            <w:r>
              <w:rPr>
                <w:sz w:val="28"/>
                <w:szCs w:val="28"/>
                <w:highlight w:val="white"/>
              </w:rPr>
              <w:t>рхивный отдел администрации города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Цель подпрограммы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прав граждан на участие в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культурной жизни, реализация творческого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потенциала жителей города.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Задачи  программы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1.Оснащение материально-технической базы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учреждений культуры и искусства.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2.Обеспечение, развитие и реализация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культурного и духовного потенциала каждой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личности;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3.Повышение уровня организации досуга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жителей города;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4.Сохранение традиционной культуры города,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сохранению и развитию народных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художественных промыслов;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5.Разработка и внедрение нового содержания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дополнительного образования детей 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юношества.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Повышение авторитета и результативности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работы МБОУ ДОД «Кирсановская ДШИ»</w:t>
            </w:r>
          </w:p>
        </w:tc>
      </w:tr>
      <w:tr>
        <w:trPr>
          <w:trHeight w:val="6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Целевые индикаторы и 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показатели программы, </w:t>
              <w:br/>
              <w:t xml:space="preserve">и их значения на последний год реализации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Оснащение материально-технической базы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учреждений культуры и искусства. (3,172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тыс.руб.) на последний год реализации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Прирост доли участников культурно-досуговых мероприятий, любительских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объединений и клубов по интересам (71.4 %)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удельного веса населения,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участвующего в платных культурно-досуговых мероприятиях (225%)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Охват детей с 7- 15 лет дополнительным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художественным образованием (27.3%)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Увеличение количества лауреатов 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дипломантов Фестивалей и конкурсов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(международных, межрегиональных,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>областных, межмуниципальных) (53 чел.)</w:t>
            </w:r>
          </w:p>
        </w:tc>
      </w:tr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 xml:space="preserve">Сроки и этапы реализации программы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>Реализация подпрограммы запланирована на 2014-2024 годы</w:t>
            </w:r>
          </w:p>
        </w:tc>
      </w:tr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  <w:szCs w:val="28"/>
              </w:rPr>
              <w:t>Объемы и источники финансирования   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sz w:val="28"/>
                <w:szCs w:val="28"/>
              </w:rPr>
              <w:t xml:space="preserve">Мероприятия подпрограммы финансируются за счет средств бюджета города, бюджета области и внебюджетных средств. 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Предполагаемый объем средств на реализацию мероприятий составляет 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185807,205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 - 31730,8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области - 11284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- 137614,7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внебюджетные – 5177,705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- 8676,7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- 8599,7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внебюджетные - 77,0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- 9463,3 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- 9386,3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внебюджетные - 77,0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 14250,905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- 9227,2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внебюджетные - 5023,705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 15638,3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области - 1461,3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14177,0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 18040,0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области - 9822,7 тыс. рублей;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8217,3тыс.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 37151,0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37151,0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 14576,2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14576,2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2021 год -  10460,0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10460,0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2022 год -  41350,8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города – 31730,8 тыс. руб.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9620,0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2023 год -  8100,0 тыс. рублей, в том числе: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города – 8100,0 тыс. рублей.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2024 год -  8100,0 тыс. рублей, в том числе: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средства бюджета города – 8100,0 тыс. рублей.</w:t>
            </w:r>
          </w:p>
        </w:tc>
      </w:tr>
    </w:tbl>
    <w:p>
      <w:pPr>
        <w:pStyle w:val="Normal"/>
        <w:jc w:val="center"/>
        <w:rPr>
          <w:rFonts w:ascii="Liberation Serif" w:hAnsi="Liberation Serif" w:eastAsia="Lucida Sans Unicode" w:cs="Mangal"/>
          <w:lang w:bidi="hi-IN"/>
        </w:rPr>
      </w:pPr>
      <w:r>
        <w:rPr>
          <w:rFonts w:eastAsia="Lucida Sans Unicode" w:cs="Mangal" w:ascii="Liberation Serif" w:hAnsi="Liberation Serif"/>
          <w:lang w:bidi="hi-IN"/>
        </w:rPr>
      </w:r>
    </w:p>
    <w:p>
      <w:pPr>
        <w:pStyle w:val="Normal"/>
        <w:jc w:val="center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1.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Общая характеристика сферы 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 </w:t>
      </w:r>
      <w:r>
        <w:rPr>
          <w:rFonts w:eastAsia="Lucida Sans Unicode"/>
          <w:sz w:val="28"/>
          <w:szCs w:val="28"/>
          <w:lang w:bidi="hi-IN"/>
        </w:rPr>
        <w:t>В соответствии с Основами законодательства о культуре, каждый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человек имеет право на все виды творческой деятельности в соответствии со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своими интересами и способностями.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</w:t>
      </w:r>
      <w:r>
        <w:rPr>
          <w:rFonts w:eastAsia="Lucida Sans Unicode"/>
          <w:sz w:val="28"/>
          <w:szCs w:val="28"/>
          <w:lang w:bidi="hi-IN"/>
        </w:rPr>
        <w:t>По мере развития личности растут потребности в ее культурнотворческом самовыражении, освоении накопленных обществом культурных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 духовных ценностей. Необходимость в удовлетворении этих потребностей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требует адекватного развития сферы искусства.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</w:t>
      </w:r>
      <w:r>
        <w:rPr>
          <w:rFonts w:eastAsia="Lucida Sans Unicode"/>
          <w:sz w:val="28"/>
          <w:szCs w:val="28"/>
          <w:lang w:bidi="hi-IN"/>
        </w:rPr>
        <w:t>Деятельность по обеспечению прав граждан на участие в культурной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жизни осуществляется путем сохранения лучших традиций российского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искусства, создания условий для обеспечения возможности участия граждан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в культурной жизни и пользования учреждениями культуры.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</w:t>
      </w:r>
      <w:r>
        <w:rPr>
          <w:rFonts w:eastAsia="Lucida Sans Unicode"/>
          <w:sz w:val="28"/>
          <w:szCs w:val="28"/>
          <w:lang w:bidi="hi-IN"/>
        </w:rPr>
        <w:t>Город Кирсанов обладает хорошей культурной средой, культурным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потенциалом, который вместе с тем используется не в полной мере.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Необходимо сохранять и укреплять сеть существующих учреждений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культуры и дополнительного художественного образования города,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поскольку именно они обеспечивают историческую преемственность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поколений, сохранений, распространение и развитие сферы культуры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духовно-нравственных ценностей.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</w:t>
      </w:r>
      <w:r>
        <w:rPr>
          <w:rFonts w:eastAsia="Lucida Sans Unicode"/>
          <w:sz w:val="28"/>
          <w:szCs w:val="28"/>
          <w:lang w:bidi="hi-IN"/>
        </w:rPr>
        <w:t>Подпрограмма определяет объемы и источники финансирования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каждое мероприятие, устанавливает ответственных за реализацию этих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 и отражает показатели результативности от проведения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2.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Приоритеты, цели, задачи, сроки 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</w:t>
      </w:r>
      <w:r>
        <w:rPr>
          <w:rFonts w:eastAsia="Lucida Sans Unicode"/>
          <w:sz w:val="28"/>
          <w:szCs w:val="28"/>
          <w:lang w:bidi="hi-IN"/>
        </w:rPr>
        <w:t>В Концепции долгосрочного социально-экономического развития Тамбовской  области на период до 2025 года определяются следующие приоритетные направления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культурного развития, которые относятся к сфере реализации подпрограммы «Культура»: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- создание условий для улучшения доступа населения города к культурным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ценностям, культурно-историческому наследию, информации и знаниям;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- сохранение и развитие творческого потенциала населения города, самодеятельного и художественного творчества;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- обеспечение доступа населения к профессиональному искусству.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</w:t>
      </w:r>
      <w:r>
        <w:rPr>
          <w:rFonts w:eastAsia="Lucida Sans Unicode"/>
          <w:sz w:val="28"/>
          <w:szCs w:val="28"/>
          <w:lang w:bidi="hi-IN"/>
        </w:rPr>
        <w:t>Главной целью Программы является обеспечение прав граждан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участие в культурной жизни, реализация творческого потенциала жителей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города. Достижение установленной цели потребует создание условий для: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Сохранения традиционной культуры города, содействие сохранению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развитию народных художественных промыслов.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Стабильная работа учреждений культуры и искусства.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социального статуса учреждений культуры и искусства.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уровня удовлетворенности населения предоставленных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услуг учреждениями культуры и искусства.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уровня дополнительного художественного образования.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Выявление и продвижение молодых дарований.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Сроки реализации подпрограммы 2014 – 2024 годы.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3.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Показатели (индикаторы) достижения целей и решения задач,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ожидаемые конечные результаты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    </w:t>
      </w:r>
      <w:r>
        <w:rPr>
          <w:rFonts w:eastAsia="Lucida Sans Unicode"/>
          <w:sz w:val="28"/>
          <w:szCs w:val="28"/>
          <w:lang w:bidi="hi-IN"/>
        </w:rPr>
        <w:t>Реализация подпрограммы позволит повысить качество услуг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культуры, комфортность их предоставления и доступность для всех слоев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населения. Подпрограмма строится на признании за отраслью « культура»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основополагающего значения при формировании нравственно-эстетических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 жизни общества, духовных потребностей личности.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              </w:t>
      </w:r>
      <w:r>
        <w:rPr>
          <w:rFonts w:eastAsia="Lucida Sans Unicode"/>
          <w:sz w:val="28"/>
          <w:szCs w:val="28"/>
          <w:lang w:bidi="hi-IN"/>
        </w:rPr>
        <w:t>В основе подпрограммы: положения, ориентированные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преемственность развития культурных традиций, модернизацию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технического и технологического оснащения учреждений культуры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искусства, совершенствование системы дополнительного художественного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образования, привлечение внимания к отрасли с целью участия в культурной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жизни города большего числа людей. Оценка эффективности реализации подпрограммы будет осуществляться на основе следующих показателей: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Рост количества посещений учреждений культуры и искусства;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Рост количества культурно-просветительских мероприятий,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проведенных учреждениями культуры и искусства 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Увеличение учреждений культуры, имеющих удовлетворительное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материально-техническое оснащение;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уровня удовлетворенности жителей города качеством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предоставления муниципальных услуг в сфере культуры;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Увеличение числа учащихся в учреждениях дополнительного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художественного образования детей;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результативности работы учреждения дополнительного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художественного образования детей.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Эффективность реализации подпрограммы зависит от уровня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финансирования мероприятий Программы и их выполнения.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Перечень показателей (индикаторов) подпрограммы приведен 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Приложении №1 к Программе.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4.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Обобщенная характеристика мероприятий подпрограммы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Мероприятия, предусмотренные подпрограммой, направлены 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на обеспечение оказания культурно-досуговых услуг населению;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обеспечение работы любительских объединений и коллективов,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стимулирование их к участию в фестивалях, творческих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конкурсах;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поддержка творческой деятельности граждан,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создание условий для привлечения детей и молодежи к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самодеятельному художественному творчеству.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создание условий для снижения текучести кадров и укрепления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кадрового потенциала в учреждениях культуры и искусства;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обновление материально-технической базы учреждений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культуры и искусства;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выявление талантливых детей юношества и молодежи;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Для каждого мероприятия определены ответственные исполнители, 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также установлены объемы финансирования за счет внебюджетных средств.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Перечень мероприятий подпрограммы приведен в Приложении №2 к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Программе.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5.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Обоснование объема финансовых ресурсов, необходимых для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Основными источниками финансирования подпрограммы являются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городского бюджета и внебюджетные средства.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Предполагаемый объем средств на реализацию мероприятий составляет 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185807,205 тыс. рублей, в том числе: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средства федерального бюджета  - 31730,8 тыс. рублей;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средства бюджета области - 11284 тыс. рублей;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средства бюджета города - 137614,7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sz w:val="28"/>
          <w:szCs w:val="28"/>
        </w:rPr>
        <w:t>средства внебюджетные – 5177,705 тыс. рублей.</w:t>
      </w:r>
      <w:r>
        <w:rPr>
          <w:rFonts w:eastAsia="Lucida Sans Unicode"/>
          <w:sz w:val="28"/>
          <w:szCs w:val="28"/>
          <w:lang w:bidi="hi-IN"/>
        </w:rPr>
        <w:t>2014 год - 8676,7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- 8599,7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- 77,0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2015 год - 9463,3 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- 9386,3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- 77,0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2016 год -  14250,905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- 9227,2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- 5023,705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2017 год -  15638,3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- 1461,3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14177,0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2018 год -  18040,0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- 9822,7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8217,3тыс.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2019 год -  37151,0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37151,0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2020 год -  14576,2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14576,2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2021 год -  10460,0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10460,0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</w:t>
      </w:r>
      <w:r>
        <w:rPr>
          <w:rFonts w:eastAsia="Lucida Sans Unicode"/>
          <w:sz w:val="28"/>
          <w:szCs w:val="28"/>
          <w:lang w:bidi="hi-IN"/>
        </w:rPr>
        <w:t>2022 год -  9620,0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9620,0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</w:t>
      </w:r>
      <w:r>
        <w:rPr>
          <w:rFonts w:eastAsia="Lucida Sans Unicode"/>
          <w:sz w:val="28"/>
          <w:szCs w:val="28"/>
          <w:lang w:bidi="hi-IN"/>
        </w:rPr>
        <w:t>2023 год -  8100,0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8100,0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</w:t>
      </w:r>
      <w:r>
        <w:rPr>
          <w:rFonts w:eastAsia="Lucida Sans Unicode"/>
          <w:sz w:val="28"/>
          <w:szCs w:val="28"/>
          <w:lang w:bidi="hi-IN"/>
        </w:rPr>
        <w:t>2024 год -  8100,0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8100,0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Объемы средств, выделяемых на реализацию мероприятий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подпрограммы, подлежат ежегодному уточнению с учетом возможностей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городского бюджета и внебюджетных средств.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6.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Механизмы 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Механизм реализации подпрограммы - это система программных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мероприятий, скоординированных по объему финансирования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ответственным исполнителям, обеспечивающих достижение намеченных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целей и результатов.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Ответственным исполнителем подпрограммы является отдел по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культуре, делам молодежи, физической культуре и спорта администрации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города, соисполнителями - МБОУ ДОД «Кирсановская ДШИ», МБУК ЦД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«Золотой витязь».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Контроль за целевым использованием бюджетных и внебюджетных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 осуществляет финансовое управление администрации города.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right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Приложение №5</w:t>
      </w:r>
    </w:p>
    <w:p>
      <w:pPr>
        <w:pStyle w:val="Normal"/>
        <w:widowControl w:val="false"/>
        <w:jc w:val="right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Утверждено</w:t>
      </w:r>
    </w:p>
    <w:p>
      <w:pPr>
        <w:pStyle w:val="Normal"/>
        <w:widowControl w:val="false"/>
        <w:jc w:val="right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распоряжением администрации города </w:t>
      </w:r>
    </w:p>
    <w:p>
      <w:pPr>
        <w:pStyle w:val="Normal"/>
        <w:widowControl w:val="false"/>
        <w:jc w:val="right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 «____»__________года № ______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Паспорт</w:t>
      </w:r>
    </w:p>
    <w:p>
      <w:pPr>
        <w:pStyle w:val="Normal"/>
        <w:widowControl w:val="false"/>
        <w:jc w:val="center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подпрограммы «Наследие» на 2014-2024 годы</w:t>
      </w:r>
    </w:p>
    <w:p>
      <w:pPr>
        <w:pStyle w:val="Normal"/>
        <w:widowControl w:val="false"/>
        <w:jc w:val="both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</w:r>
    </w:p>
    <w:tbl>
      <w:tblPr>
        <w:tblW w:w="9619" w:type="dxa"/>
        <w:jc w:val="left"/>
        <w:tblInd w:w="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0" w:type="dxa"/>
          <w:bottom w:w="0" w:type="dxa"/>
          <w:right w:w="75" w:type="dxa"/>
        </w:tblCellMar>
        <w:tblLook w:firstRow="0" w:noVBand="0" w:lastRow="0" w:firstColumn="0" w:lastColumn="0" w:noHBand="0" w:val="0000"/>
      </w:tblPr>
      <w:tblGrid>
        <w:gridCol w:w="2865"/>
        <w:gridCol w:w="6753"/>
      </w:tblGrid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Ответственный исполнитель подпрограммы 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отдел по культуре и молодежной политике администрации города, 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Соисполнители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  </w:t>
            </w: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отдел по развитию физической культуры, спорта и туризма администрации города, муниципальное бюджетное учреждение культуры Центр досуга «Золотой витязь»; муниципальное бюджетное учреждение культуры «Кирсановский краеведческий музей»; муниципальное бюджетное учреждение культуры «Кирсановская городская библиотека»; муниципальное бюджетное образовательное учреждения дополнительного образования «Кирсановская детская школа искусств»; муниципальное бюджетное учреждение «Спортивно-оздоровительный клуб «Олимп», архивный отдел администрации города 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Цель подпрограммы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Сохранение культурного и исторического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наследия, расширение доступа населения к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культурным ценностям и информации</w:t>
            </w:r>
          </w:p>
        </w:tc>
      </w:tr>
      <w:tr>
        <w:trPr/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Задачи  программы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1.Совершенствование деятельности библиотек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по сохранности и использованию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библиотечных фондов.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2.Развитие деятельности библиотеки как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методического, информационного,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образовательного и культурного центра.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3.Развитие деятельности музея по сохранности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и безопасности музейных фондов.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4.Обеспечение учета и сохранности музейных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предметов и музейных коллекций.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5.Совершенствование использования музейных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предметов и музейных коллекций в научных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культурных, образовательных целях.</w:t>
            </w:r>
          </w:p>
        </w:tc>
      </w:tr>
      <w:tr>
        <w:trPr>
          <w:trHeight w:val="6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Целевые индикаторы и 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показатели программы, </w:t>
              <w:br/>
              <w:t xml:space="preserve">и их значения на последний год реализации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1.Увеличение количества пользователей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услугами «Кирсановской городской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библиотеки» (2700 чел)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2.Увеличение книгообеспеченности на 1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реализации пользователя «Кирсановской городской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библиотеки»– (19.5%).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3.Увеличение количества музейных выставок,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в т.ч. и мобильных «Кирсановского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краеведческого музея» – (35 ед.).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4. Увеличение книжного фонда «Кирсановской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городской библиотеки» (49.1 %)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5. Увеличение доли эл. каталога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«Кирсановской городской библиотеки» (86.6%)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6. Увеличение доли выставленных музейных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экспонатов «Кирсановского краеведческого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музея» (13.5 %)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7. Издание видео – аудио альбомов ведущих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творческих коллективов и исполнителей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города (9 ед)</w:t>
            </w:r>
          </w:p>
        </w:tc>
      </w:tr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Сроки и этапы реализации программы                       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Реализация подпрограммы запланирована на 2014-2024 годы</w:t>
            </w:r>
          </w:p>
        </w:tc>
      </w:tr>
      <w:tr>
        <w:trPr>
          <w:trHeight w:val="400" w:hRule="atLeast"/>
        </w:trPr>
        <w:tc>
          <w:tcPr>
            <w:tcW w:w="2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Объемы и источники финансирования     подпрограммы</w:t>
            </w:r>
          </w:p>
        </w:tc>
        <w:tc>
          <w:tcPr>
            <w:tcW w:w="6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60" w:type="dxa"/>
            </w:tcMar>
          </w:tcPr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Мероприятия подпрограммы финансируются за счет средств бюджета города, бюджета области и внебюджетных средств. 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Предполагаемый объем средств на реализацию мероприятий составляет   2825,4тыс.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области  - 2657,2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- 93,6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внебюджетные - 74,6тыс.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2014 год - 274,6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области - 214,3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- 43,3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внебюджетные - 17,0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2015 год - 71,0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- 49,0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внебюджетные - 17,0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2016 год -  51,7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области – 46,7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2017 год-  2183,1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- 2178,1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2018 год -  45,5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области – 40,6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- 4,9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2019 год -  54.9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– 49.5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- 5,4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2020 год -  46,0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– 41,0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  <w:lang w:bidi="hi-IN"/>
              </w:rPr>
              <w:t>2021 год -  44,3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– 39,3 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  <w:lang w:bidi="hi-IN"/>
              </w:rPr>
              <w:t>2022 год -  44,3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 бюджета области – 39,3тыс. рублей;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- 5,0 тыс. рублей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  <w:lang w:bidi="hi-IN"/>
              </w:rPr>
              <w:t>2023 год -  5,0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– 5,0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  <w:lang w:bidi="hi-IN"/>
              </w:rPr>
              <w:t>2024 год -  5,0 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  <w:t>средства бюджета города – 5,0 тыс. рублей.</w:t>
            </w:r>
          </w:p>
          <w:p>
            <w:pPr>
              <w:pStyle w:val="Normal"/>
              <w:widowControl w:val="false"/>
              <w:jc w:val="both"/>
              <w:rPr>
                <w:rFonts w:eastAsia="Lucida Sans Unicode"/>
                <w:sz w:val="28"/>
                <w:szCs w:val="28"/>
                <w:lang w:bidi="hi-IN"/>
              </w:rPr>
            </w:pPr>
            <w:r>
              <w:rPr>
                <w:rFonts w:eastAsia="Lucida Sans Unicode"/>
                <w:sz w:val="28"/>
                <w:szCs w:val="28"/>
                <w:lang w:bidi="hi-IN"/>
              </w:rPr>
            </w:r>
          </w:p>
        </w:tc>
      </w:tr>
    </w:tbl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1.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Общая характеристика сферы 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</w:t>
      </w:r>
      <w:r>
        <w:rPr>
          <w:rFonts w:eastAsia="Lucida Sans Unicode"/>
          <w:sz w:val="28"/>
          <w:szCs w:val="28"/>
          <w:lang w:bidi="hi-IN"/>
        </w:rPr>
        <w:t>Подпрограмма «Наследие» направлена на сохранение, пополнение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использование культурного и исторического наследия города Кирсанова,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обеспечение равного доступа населения к культурным ценностям и участию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в культурной жизни, развитие и реализация культурного и духовного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потенциала каждой личности.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          </w:t>
      </w:r>
      <w:r>
        <w:rPr>
          <w:rFonts w:eastAsia="Lucida Sans Unicode"/>
          <w:sz w:val="28"/>
          <w:szCs w:val="28"/>
          <w:lang w:bidi="hi-IN"/>
        </w:rPr>
        <w:t>Культурное и историческое наследие является духовным,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экономическим и социальным капиталом невосполнимой ценности,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питающим современную науку, образование, искусство, дающим основание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для самоуважения нации. Его сохранение и воспроизводство - один из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факторов устойчивого социально-экономического развития города.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Сфера реализации подпрограммы «Наследие» охватывает: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сохранение, использование, популяризацию культурного наследия города;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развитие библиотечного дела;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развитие музейного дела.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Библиотечное обслуживание является одной из важнейших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составляющих современной культурной жизни. Библиотека выполняет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образовательную, информационную, досуговую функции в обществе. Фонды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библиотеки составляют значительную часть культурного наследия города,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которые, кроме научной, культурно-исторической и информационно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ценности, имеют огромную материальную ценность. Совершенствование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комплектования фонда библиотеки, обеспечение их сохранности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использования являются приоритетными в деятельности библиотек.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Библиотека выполняет функции социокультурных, информационных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образовательных центров. В целях повышения интереса к литературе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пропаганды чтения среди населения города библиотека реализует немалое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количество мероприятий: праздники, тематические недели и декады,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различные акции, конкурсы.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Основными проблемами, напрямую влияющими на качественное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исполнение библиотекой своего предназначения, являются: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Низкое качество комплектования библиотечных фондов. Фонд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библиотек является основой функционирования библиотеки главным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источником удовлетворения читательских потребностей.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Низкое и нестабильное бюджетное финансирование, что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отрицательно сказывается на системе комплектования и составе фондов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библиотеки.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Требует улучшение информатизации библиотеки. Расширение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ассортимента информационно-библиотечных услуг, оказание бесплатной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юридической помощи населению с использованием видеофонии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сдерживается отсутствием необходимого высокоскоростного «Интернета».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Неудовлетворительное состояние материально-технической базы.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Библиотека нуждается в приобретении мебели, компьютеров, видео-аудио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аппаратуры. Недостаточно обеспечена современными системами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видеонаблюдения, сигнализации, пожаротушения, климатического контроля,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Музейный фонд города представляет собрание предметов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материального мира: произведения изобразительного и декоративноприкладного искусства, бытовые предметы, разнообразные коллекции, письменные источники и т.д. Разнообразие музейных собраний позволяет в масштабах музейного фонда воссоздать историю не только города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Кирсанова, но и Тамбовщины и России в целом. В музее продолжается работа по созданию электронной базы данных, что позволяет повысить доступность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музейных фондов и облегчить формы их использования. Музей занимает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особое место, являясь одним из самых доступных видов учреждений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культуры, совмещая в себе многообразные функции: научного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просветительского центра, образовательного учреждения, центра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организации досуга и места проведения различного рода общественных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Однако имеют место ряд проблем в деятельности музея: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Дефицит фондовых площадей.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Фондохранилища располагаются в приспособленных для этих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целей помещениях. Не соблюдаются нормы температурно-влажностного,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пылевого, светового и биологического режимов хранения.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Отсутствуют элементарные средства обеспечения сохранности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предметов. Наблюдается дефицит фондового оборудования, стеллажей, орг.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техники, видеоаппаратуры.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Необходимость решения указанных в настоящей Подпрограмме задач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 проблем вытекает из закрепленной в Конституции и действующем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законодательстве обязательности предоставления за счет районного,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региональных бюджетов услуг по организации библиотечного обслуживания,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 созданию и поддержке государственных музеев (в том числе услуг по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обеспечению музейных фондов).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Подпрограмма определяет объемы и источники финансирования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каждое мероприятие, устанавливает ответственных за реализацию этих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 и отражает показатели результативности от проведения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2.</w:t>
      </w:r>
    </w:p>
    <w:p>
      <w:pPr>
        <w:pStyle w:val="Normal"/>
        <w:widowControl w:val="false"/>
        <w:jc w:val="center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Приоритеты, цели, задачи, сроки реализации подпрограммы</w:t>
      </w:r>
      <w:r>
        <w:rPr>
          <w:rFonts w:eastAsia="Lucida Sans Unicode"/>
          <w:sz w:val="28"/>
          <w:szCs w:val="28"/>
          <w:lang w:bidi="hi-IN"/>
        </w:rPr>
        <w:t>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Реализация подпрограммы будет осуществляться в соответствии со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следующими приоритетами: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обеспечение максимальной доступности для широких слоев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населения лучших образцов культуры и искусства;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продвижение в культурном пространстве города нравственных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ценностей и образцов, способствующих культурному и гражданскому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воспитанию личности;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обеспечение инновационного развития отрасли культуры;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Основными целями подпрограммы являются: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создание условий для улучшения доступа населения города к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информации и знаниям;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поддержка и совершенствование музейной деятельности,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обеспечение прав граждан города на доступ к культурным ценностям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участию в культурно жизни.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Основными задачами подпрограммы являются: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совершенствование деятельности библиотеки по развитию,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сохранности и использованию библиотечных фондов;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развитие деятельности библиотеки как методического,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информационного, образовательного и культурного центра;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улучшение условий для обеспечения возможности участия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граждан в культурной жизни и пользования учреждениями культуры.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организация работ по систематическому комплектованию, учету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и хранению предметов музейного фонда;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модернизация материально технической базы, направленная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обеспечение условий хранения и экспонирования музейного фонда;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внедрение новых технологий в систему учета и хранения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предметов музейного фонда;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создание экспозиций и выставок, потенциально привлекательных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для посетителей.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Срок реализации подпрограммы 2014-2020 годы.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3.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Показатели (индикаторы) достижения целей и решения задач,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ожидаемые конечные результаты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Ожидаемые результаты реализации подпрограммы: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обеспечение и защита конституционных прав граждан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свободный и равный доступ ко всем видам информации и знаний для всех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слоев населения;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создание качественно-новой системы информационно-библиотечного обслуживания населения;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повышение кадрового и научно-методического потенциала библиотеки.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сохранение, изучение и передачу через поколения историко-культурного наследия города Кирсанова;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• </w:t>
      </w:r>
      <w:r>
        <w:rPr>
          <w:rFonts w:eastAsia="Lucida Sans Unicode"/>
          <w:sz w:val="28"/>
          <w:szCs w:val="28"/>
          <w:lang w:bidi="hi-IN"/>
        </w:rPr>
        <w:t>обеспечение возможности для свободного и равного доступа к культурным ценностям жителей города;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Эффективность реализации подпрограммы зависит от уровня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финансирования мероприятий Программы и их выполнения.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Перечень показателей (индикаторов) подпрограммы приведен в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Приложении №1к Программе.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4.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Обобщенная характеристика мероприятий подпрограммы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</w:t>
      </w:r>
      <w:r>
        <w:rPr>
          <w:rFonts w:eastAsia="Lucida Sans Unicode"/>
          <w:sz w:val="28"/>
          <w:szCs w:val="28"/>
          <w:lang w:bidi="hi-IN"/>
        </w:rPr>
        <w:t>Мероприятия, предусмотренные подпрограммой, направлены 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сохранение, пополнение и использование культурного и исторического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наследия города Кирсанова, развитие и реализацию культурного и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духовного потенциала каждой личности, обеспечение равного доступа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населения к культурным ценностям и участию в культурной жизни,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сохранение, использование, популяризация и государственная охрана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объектов культурного наследия города, развитие библиотечного и музейного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дела.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Для каждого мероприятия определены ответственные исполнители, а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также установлены объемы финансирования за счет средств бюджетов всех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уровней.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Перечень мероприятий подпрограммы приведен в Приложении №2 к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Программе.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5.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Обоснование объема финансовых ресурсов, необходимых для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реализации подпрограммы.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Основными источниками финансирования подпрограммы являются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городского бюджета, областного бюджета и внебюджетные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Предполагаемый объем средств на реализацию мероприятий составляет   2825,4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 - 2657,2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- 93,6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- 74,6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2014 год - 274,6,0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- 214,3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- 43,3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2015 год - 71,0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- 49,0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- 5,0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внебюджетные - 17,0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2016 год -  51,7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– 46,7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2017 год-  2183,1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- 2178,1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2018 год -  45,5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области – 40,6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- 4,9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2019 год- 54,9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– 49.5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- 5,4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2020 год -  46,0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– 41,0 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- 5,0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</w:t>
      </w:r>
      <w:r>
        <w:rPr>
          <w:rFonts w:eastAsia="Lucida Sans Unicode"/>
          <w:sz w:val="28"/>
          <w:szCs w:val="28"/>
          <w:lang w:bidi="hi-IN"/>
        </w:rPr>
        <w:t>2021 год -  44,3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– 39,3тыс.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2022 год -  44,3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 бюджета области – 39,3тыс. рублей;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2023 год -  5,0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</w:t>
      </w:r>
      <w:r>
        <w:rPr>
          <w:rFonts w:eastAsia="Lucida Sans Unicode"/>
          <w:sz w:val="28"/>
          <w:szCs w:val="28"/>
          <w:lang w:bidi="hi-IN"/>
        </w:rPr>
        <w:t>2024 год -  5,0 тыс. рублей, в том числе: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средства бюджета города – 5,0 тыс. рублей.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Объемы средств, выделяемых на реализацию мероприятий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подпрограммы, подлежат ежегодному уточнению с учетом возможностей</w:t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бюджетов всех уровней.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Раздел 6.</w:t>
      </w:r>
    </w:p>
    <w:p>
      <w:pPr>
        <w:pStyle w:val="Normal"/>
        <w:widowControl w:val="false"/>
        <w:jc w:val="center"/>
        <w:rPr>
          <w:rFonts w:eastAsia="Lucida Sans Unicode"/>
          <w:b/>
          <w:b/>
          <w:sz w:val="28"/>
          <w:szCs w:val="28"/>
          <w:lang w:bidi="hi-IN"/>
        </w:rPr>
      </w:pPr>
      <w:r>
        <w:rPr>
          <w:rFonts w:eastAsia="Lucida Sans Unicode"/>
          <w:b/>
          <w:sz w:val="28"/>
          <w:szCs w:val="28"/>
          <w:lang w:bidi="hi-IN"/>
        </w:rPr>
        <w:t>Механизмы реализации подпрограммы.</w:t>
      </w:r>
    </w:p>
    <w:p>
      <w:pPr>
        <w:pStyle w:val="Normal"/>
        <w:widowControl w:val="false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 xml:space="preserve">           </w:t>
      </w:r>
      <w:r>
        <w:rPr>
          <w:rFonts w:eastAsia="Lucida Sans Unicode"/>
          <w:sz w:val="28"/>
          <w:szCs w:val="28"/>
          <w:lang w:bidi="hi-IN"/>
        </w:rPr>
        <w:t>Механизм реализации подпрограммы - это система программных</w:t>
      </w:r>
    </w:p>
    <w:p>
      <w:pPr>
        <w:pStyle w:val="Normal"/>
        <w:widowControl w:val="false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Мероприятий, скоординированных по объему финансирования и ответственным исполнителям, обеспечивающих достижение намеченных целей и результатов.</w:t>
      </w:r>
    </w:p>
    <w:p>
      <w:pPr>
        <w:pStyle w:val="Normal"/>
        <w:widowControl w:val="false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  <w:t>Ответственным исполнителем подпрограммы является отдел по культуре и молодежной политике администрации города. Соисполнителями являются: МБУК «Кирсановский краеведческий музей, МБУК «Кирсановская городская библиотека».  Контроль за целевым использованием бюджетных и внебюджетных средств осуществляет финансовое управление администрации города.</w:t>
      </w:r>
    </w:p>
    <w:p>
      <w:pPr>
        <w:pStyle w:val="Normal"/>
        <w:widowControl w:val="false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widowControl w:val="false"/>
        <w:jc w:val="both"/>
        <w:rPr>
          <w:rFonts w:eastAsia="Lucida Sans Unicode"/>
          <w:sz w:val="28"/>
          <w:szCs w:val="28"/>
          <w:lang w:bidi="hi-IN"/>
        </w:rPr>
      </w:pPr>
      <w:r>
        <w:rPr>
          <w:rFonts w:eastAsia="Lucida Sans Unicode"/>
          <w:sz w:val="28"/>
          <w:szCs w:val="28"/>
          <w:lang w:bidi="hi-IN"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pStyle w:val="2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535b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h-CN" w:val="ru-RU" w:bidi="ar-SA"/>
    </w:rPr>
  </w:style>
  <w:style w:type="paragraph" w:styleId="1">
    <w:name w:val="Heading 1"/>
    <w:basedOn w:val="Normal"/>
    <w:link w:val="10"/>
    <w:qFormat/>
    <w:rsid w:val="002535ba"/>
    <w:pPr>
      <w:keepNext/>
      <w:numPr>
        <w:ilvl w:val="0"/>
        <w:numId w:val="1"/>
      </w:numPr>
      <w:outlineLvl w:val="0"/>
      <w:outlineLvl w:val="0"/>
    </w:pPr>
    <w:rPr>
      <w:sz w:val="28"/>
      <w:szCs w:val="20"/>
    </w:rPr>
  </w:style>
  <w:style w:type="paragraph" w:styleId="2">
    <w:name w:val="Heading 2"/>
    <w:basedOn w:val="Style23"/>
    <w:link w:val="20"/>
    <w:semiHidden/>
    <w:unhideWhenUsed/>
    <w:qFormat/>
    <w:rsid w:val="002535ba"/>
    <w:pPr>
      <w:keepNext/>
      <w:numPr>
        <w:ilvl w:val="1"/>
        <w:numId w:val="1"/>
      </w:numPr>
      <w:spacing w:before="240" w:after="120"/>
      <w:outlineLvl w:val="1"/>
      <w:outlineLvl w:val="1"/>
    </w:pPr>
    <w:rPr>
      <w:rFonts w:ascii="Arial" w:hAnsi="Arial" w:eastAsia="Lucida Sans Unicode" w:cs="Mangal"/>
      <w:b/>
      <w:bCs/>
      <w:i/>
      <w:iCs/>
      <w:spacing w:val="0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535ba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21" w:customStyle="1">
    <w:name w:val="Заголовок 2 Знак"/>
    <w:basedOn w:val="DefaultParagraphFont"/>
    <w:link w:val="2"/>
    <w:semiHidden/>
    <w:qFormat/>
    <w:rsid w:val="002535ba"/>
    <w:rPr>
      <w:rFonts w:ascii="Arial" w:hAnsi="Arial" w:eastAsia="Lucida Sans Unicode" w:cs="Mangal"/>
      <w:b/>
      <w:bCs/>
      <w:i/>
      <w:iCs/>
      <w:sz w:val="28"/>
      <w:szCs w:val="28"/>
      <w:lang w:eastAsia="zh-CN"/>
    </w:rPr>
  </w:style>
  <w:style w:type="character" w:styleId="Style12" w:customStyle="1">
    <w:name w:val="Заголовок Знак"/>
    <w:basedOn w:val="DefaultParagraphFont"/>
    <w:link w:val="a0"/>
    <w:uiPriority w:val="99"/>
    <w:qFormat/>
    <w:rsid w:val="002535ba"/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  <w:lang w:eastAsia="zh-CN"/>
    </w:rPr>
  </w:style>
  <w:style w:type="character" w:styleId="Style13" w:customStyle="1">
    <w:name w:val="Основной текст Знак"/>
    <w:basedOn w:val="DefaultParagraphFont"/>
    <w:link w:val="a1"/>
    <w:uiPriority w:val="99"/>
    <w:qFormat/>
    <w:rsid w:val="002535ba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d07035"/>
    <w:rPr>
      <w:rFonts w:ascii="Liberation Serif" w:hAnsi="Liberation Serif" w:eastAsia="Lucida Sans Unicode" w:cs="Mangal"/>
      <w:sz w:val="24"/>
      <w:szCs w:val="21"/>
      <w:lang w:eastAsia="zh-CN" w:bidi="hi-I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d07035"/>
    <w:rPr>
      <w:rFonts w:ascii="Liberation Serif" w:hAnsi="Liberation Serif" w:eastAsia="Lucida Sans Unicode" w:cs="Mangal"/>
      <w:sz w:val="24"/>
      <w:szCs w:val="21"/>
      <w:lang w:eastAsia="zh-CN" w:bidi="hi-IN"/>
    </w:rPr>
  </w:style>
  <w:style w:type="character" w:styleId="Style16">
    <w:name w:val="Интернет-ссылка"/>
    <w:uiPriority w:val="99"/>
    <w:semiHidden/>
    <w:unhideWhenUsed/>
    <w:rsid w:val="00d07035"/>
    <w:rPr>
      <w:color w:val="000080"/>
      <w:u w:val="single"/>
    </w:rPr>
  </w:style>
  <w:style w:type="character" w:styleId="FollowedHyperlink">
    <w:name w:val="FollowedHyperlink"/>
    <w:uiPriority w:val="99"/>
    <w:semiHidden/>
    <w:unhideWhenUsed/>
    <w:qFormat/>
    <w:rsid w:val="00d07035"/>
    <w:rPr>
      <w:color w:val="800000"/>
      <w:u w:val="single"/>
    </w:rPr>
  </w:style>
  <w:style w:type="character" w:styleId="Style17" w:customStyle="1">
    <w:name w:val="Текст выноски Знак"/>
    <w:basedOn w:val="DefaultParagraphFont"/>
    <w:link w:val="af2"/>
    <w:uiPriority w:val="99"/>
    <w:semiHidden/>
    <w:qFormat/>
    <w:rsid w:val="00d07035"/>
    <w:rPr>
      <w:rFonts w:ascii="Segoe UI" w:hAnsi="Segoe UI" w:eastAsia="Lucida Sans Unicode" w:cs="Mangal"/>
      <w:sz w:val="18"/>
      <w:szCs w:val="16"/>
      <w:lang w:eastAsia="zh-CN" w:bidi="hi-IN"/>
    </w:rPr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link w:val="a6"/>
    <w:unhideWhenUsed/>
    <w:rsid w:val="002535ba"/>
    <w:pPr>
      <w:spacing w:before="0" w:after="120"/>
    </w:pPr>
    <w:rPr/>
  </w:style>
  <w:style w:type="paragraph" w:styleId="Style20">
    <w:name w:val="List"/>
    <w:basedOn w:val="Style19"/>
    <w:rsid w:val="00d07035"/>
    <w:pPr>
      <w:spacing w:lineRule="auto" w:line="288" w:before="0" w:after="140"/>
    </w:pPr>
    <w:rPr>
      <w:rFonts w:ascii="Liberation Serif" w:hAnsi="Liberation Serif" w:eastAsia="Lucida Sans Unicode" w:cs="Mangal"/>
      <w:lang w:bidi="hi-IN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Title"/>
    <w:basedOn w:val="Normal"/>
    <w:link w:val="a5"/>
    <w:qFormat/>
    <w:rsid w:val="002535ba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ConsPlusNormal" w:customStyle="1">
    <w:name w:val="ConsPlusNormal"/>
    <w:qFormat/>
    <w:rsid w:val="002535b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zh-CN" w:val="ru-RU" w:bidi="ar-SA"/>
    </w:rPr>
  </w:style>
  <w:style w:type="paragraph" w:styleId="ConsPlusTitle" w:customStyle="1">
    <w:name w:val="ConsPlusTitle"/>
    <w:qFormat/>
    <w:rsid w:val="002535b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sz w:val="24"/>
      <w:szCs w:val="22"/>
      <w:lang w:eastAsia="zh-CN" w:val="ru-RU" w:bidi="ar-SA"/>
    </w:rPr>
  </w:style>
  <w:style w:type="paragraph" w:styleId="Caption">
    <w:name w:val="caption"/>
    <w:basedOn w:val="Normal"/>
    <w:qFormat/>
    <w:rsid w:val="00d07035"/>
    <w:pPr>
      <w:suppressLineNumbers/>
      <w:spacing w:before="120" w:after="120"/>
    </w:pPr>
    <w:rPr>
      <w:rFonts w:ascii="Liberation Serif" w:hAnsi="Liberation Serif" w:eastAsia="Lucida Sans Unicode" w:cs="Mangal"/>
      <w:i/>
      <w:iCs/>
      <w:lang w:bidi="hi-IN"/>
    </w:rPr>
  </w:style>
  <w:style w:type="paragraph" w:styleId="12" w:customStyle="1">
    <w:name w:val="Указатель1"/>
    <w:basedOn w:val="Normal"/>
    <w:qFormat/>
    <w:rsid w:val="00d07035"/>
    <w:pPr>
      <w:suppressLineNumbers/>
    </w:pPr>
    <w:rPr>
      <w:rFonts w:ascii="Liberation Serif" w:hAnsi="Liberation Serif" w:eastAsia="Lucida Sans Unicode" w:cs="Mangal"/>
      <w:lang w:bidi="hi-IN"/>
    </w:rPr>
  </w:style>
  <w:style w:type="paragraph" w:styleId="ConsPlusCell" w:customStyle="1">
    <w:name w:val="ConsPlusCell"/>
    <w:qFormat/>
    <w:rsid w:val="00d0703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h-CN" w:val="ru-RU" w:bidi="ar-SA"/>
    </w:rPr>
  </w:style>
  <w:style w:type="paragraph" w:styleId="ConsNormal" w:customStyle="1">
    <w:name w:val="ConsNormal"/>
    <w:qFormat/>
    <w:rsid w:val="00d07035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zh-CN" w:val="ru-RU" w:bidi="ar-SA"/>
    </w:rPr>
  </w:style>
  <w:style w:type="paragraph" w:styleId="ConsNonformat" w:customStyle="1">
    <w:name w:val="ConsNonformat"/>
    <w:qFormat/>
    <w:rsid w:val="00d07035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sz w:val="20"/>
      <w:szCs w:val="20"/>
      <w:lang w:eastAsia="zh-CN" w:val="ru-RU" w:bidi="ar-SA"/>
    </w:rPr>
  </w:style>
  <w:style w:type="paragraph" w:styleId="Style24" w:customStyle="1">
    <w:name w:val="Содержимое таблицы"/>
    <w:basedOn w:val="Normal"/>
    <w:qFormat/>
    <w:rsid w:val="00d07035"/>
    <w:pPr>
      <w:suppressLineNumbers/>
    </w:pPr>
    <w:rPr>
      <w:rFonts w:ascii="Liberation Serif" w:hAnsi="Liberation Serif" w:eastAsia="Lucida Sans Unicode" w:cs="Mangal"/>
      <w:lang w:bidi="hi-IN"/>
    </w:rPr>
  </w:style>
  <w:style w:type="paragraph" w:styleId="13" w:customStyle="1">
    <w:name w:val="Обычный1"/>
    <w:qFormat/>
    <w:rsid w:val="00d0703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h-CN" w:val="ru-RU" w:bidi="ar-SA"/>
    </w:rPr>
  </w:style>
  <w:style w:type="paragraph" w:styleId="Style25">
    <w:name w:val="Header"/>
    <w:basedOn w:val="Normal"/>
    <w:link w:val="ab"/>
    <w:uiPriority w:val="99"/>
    <w:unhideWhenUsed/>
    <w:rsid w:val="00d07035"/>
    <w:pPr>
      <w:tabs>
        <w:tab w:val="center" w:pos="4677" w:leader="none"/>
        <w:tab w:val="right" w:pos="9355" w:leader="none"/>
      </w:tabs>
    </w:pPr>
    <w:rPr>
      <w:rFonts w:ascii="Liberation Serif" w:hAnsi="Liberation Serif" w:eastAsia="Lucida Sans Unicode" w:cs="Mangal"/>
      <w:szCs w:val="21"/>
      <w:lang w:bidi="hi-IN"/>
    </w:rPr>
  </w:style>
  <w:style w:type="paragraph" w:styleId="Style26">
    <w:name w:val="Footer"/>
    <w:basedOn w:val="Normal"/>
    <w:link w:val="ad"/>
    <w:uiPriority w:val="99"/>
    <w:unhideWhenUsed/>
    <w:rsid w:val="00d07035"/>
    <w:pPr>
      <w:tabs>
        <w:tab w:val="center" w:pos="4677" w:leader="none"/>
        <w:tab w:val="right" w:pos="9355" w:leader="none"/>
      </w:tabs>
    </w:pPr>
    <w:rPr>
      <w:rFonts w:ascii="Liberation Serif" w:hAnsi="Liberation Serif" w:eastAsia="Lucida Sans Unicode" w:cs="Mangal"/>
      <w:szCs w:val="21"/>
      <w:lang w:bidi="hi-IN"/>
    </w:rPr>
  </w:style>
  <w:style w:type="paragraph" w:styleId="NormalWeb">
    <w:name w:val="Normal (Web)"/>
    <w:basedOn w:val="Normal"/>
    <w:uiPriority w:val="99"/>
    <w:semiHidden/>
    <w:unhideWhenUsed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Western" w:customStyle="1">
    <w:name w:val="western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Cjk" w:customStyle="1">
    <w:name w:val="cjk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Ctl" w:customStyle="1">
    <w:name w:val="ctl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Western1" w:customStyle="1">
    <w:name w:val="western1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Cjk1" w:customStyle="1">
    <w:name w:val="cjk1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Ctl1" w:customStyle="1">
    <w:name w:val="ctl1"/>
    <w:basedOn w:val="Normal"/>
    <w:qFormat/>
    <w:rsid w:val="00d07035"/>
    <w:pPr>
      <w:suppressAutoHyphens w:val="false"/>
      <w:spacing w:beforeAutospacing="1" w:after="119"/>
    </w:pPr>
    <w:rPr>
      <w:color w:val="000000"/>
      <w:lang w:eastAsia="ru-RU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d07035"/>
    <w:pPr/>
    <w:rPr>
      <w:rFonts w:ascii="Segoe UI" w:hAnsi="Segoe UI" w:eastAsia="Lucida Sans Unicode" w:cs="Mangal"/>
      <w:sz w:val="18"/>
      <w:szCs w:val="16"/>
      <w:lang w:bidi="hi-IN"/>
    </w:rPr>
  </w:style>
  <w:style w:type="paragraph" w:styleId="Msonormal" w:customStyle="1">
    <w:name w:val="msonormal"/>
    <w:basedOn w:val="Normal"/>
    <w:uiPriority w:val="99"/>
    <w:semiHidden/>
    <w:qFormat/>
    <w:rsid w:val="00167bcb"/>
    <w:pPr>
      <w:suppressAutoHyphens w:val="false"/>
      <w:spacing w:beforeAutospacing="1" w:after="119"/>
    </w:pPr>
    <w:rPr>
      <w:color w:val="00000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d07035"/>
  </w:style>
  <w:style w:type="numbering" w:styleId="111" w:customStyle="1">
    <w:name w:val="Нет списка11"/>
    <w:uiPriority w:val="99"/>
    <w:semiHidden/>
    <w:unhideWhenUsed/>
    <w:qFormat/>
    <w:rsid w:val="00d07035"/>
  </w:style>
  <w:style w:type="numbering" w:styleId="22" w:customStyle="1">
    <w:name w:val="Нет списка2"/>
    <w:uiPriority w:val="99"/>
    <w:semiHidden/>
    <w:unhideWhenUsed/>
    <w:qFormat/>
    <w:rsid w:val="00167bcb"/>
  </w:style>
  <w:style w:type="numbering" w:styleId="121" w:customStyle="1">
    <w:name w:val="Нет списка12"/>
    <w:uiPriority w:val="99"/>
    <w:semiHidden/>
    <w:unhideWhenUsed/>
    <w:qFormat/>
    <w:rsid w:val="00167bcb"/>
  </w:style>
  <w:style w:type="numbering" w:styleId="3" w:customStyle="1">
    <w:name w:val="Нет списка3"/>
    <w:uiPriority w:val="99"/>
    <w:semiHidden/>
    <w:unhideWhenUsed/>
    <w:qFormat/>
    <w:rsid w:val="00167bcb"/>
  </w:style>
  <w:style w:type="numbering" w:styleId="131" w:customStyle="1">
    <w:name w:val="Нет списка13"/>
    <w:uiPriority w:val="99"/>
    <w:semiHidden/>
    <w:unhideWhenUsed/>
    <w:qFormat/>
    <w:rsid w:val="00167bc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3"/>
    <w:rsid w:val="00d070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Сетка таблицы1"/>
    <w:basedOn w:val="a3"/>
    <w:rsid w:val="00167bc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3"/>
    <w:rsid w:val="00167bc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09386-56AC-462C-A418-39B52767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LibreOffice/5.2.2.2$Windows_x86 LibreOffice_project/8f96e87c890bf8fa77463cd4b640a2312823f3ad</Application>
  <Pages>92</Pages>
  <Words>10891</Words>
  <Characters>57582</Characters>
  <CharactersWithSpaces>64576</CharactersWithSpaces>
  <Paragraphs>4994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2021-03-19T12:36:00Z</dcterms:created>
  <dc:creator>user</dc:creator>
  <dc:description/>
  <dc:language>ru-RU</dc:language>
  <cp:lastModifiedBy/>
  <cp:lastPrinted>2021-03-26T07:18:00Z</cp:lastPrinted>
  <dcterms:modified xsi:type="dcterms:W3CDTF">2021-04-08T08:52:23Z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